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F9" w:rsidRDefault="008043F9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8043F9" w:rsidRDefault="008043F9">
      <w:pPr>
        <w:pStyle w:val="ConsPlusTitle"/>
        <w:jc w:val="both"/>
      </w:pPr>
    </w:p>
    <w:p w:rsidR="008043F9" w:rsidRDefault="008043F9">
      <w:pPr>
        <w:pStyle w:val="ConsPlusTitle"/>
        <w:jc w:val="center"/>
      </w:pPr>
      <w:r>
        <w:t>РАСПОРЯЖЕНИЕ</w:t>
      </w:r>
    </w:p>
    <w:p w:rsidR="008043F9" w:rsidRDefault="008043F9">
      <w:pPr>
        <w:pStyle w:val="ConsPlusTitle"/>
        <w:jc w:val="center"/>
      </w:pPr>
      <w:r>
        <w:t>от 2 октября 2019 г. N 601-р</w:t>
      </w:r>
    </w:p>
    <w:p w:rsidR="008043F9" w:rsidRDefault="008043F9">
      <w:pPr>
        <w:pStyle w:val="ConsPlusTitle"/>
        <w:jc w:val="both"/>
      </w:pPr>
    </w:p>
    <w:p w:rsidR="008043F9" w:rsidRDefault="008043F9">
      <w:pPr>
        <w:pStyle w:val="ConsPlusTitle"/>
        <w:jc w:val="center"/>
      </w:pPr>
      <w:r>
        <w:t>О ВНЕСЕНИИ ИЗМЕНЕНИЙ В РАСПОРЯЖЕНИЕ</w:t>
      </w:r>
    </w:p>
    <w:p w:rsidR="008043F9" w:rsidRDefault="008043F9">
      <w:pPr>
        <w:pStyle w:val="ConsPlusTitle"/>
        <w:jc w:val="center"/>
      </w:pPr>
      <w:r>
        <w:t>КОЛЛЕГИИ АДМИНИСТРАЦИИ КЕМЕРОВСКОЙ ОБЛАСТИ</w:t>
      </w:r>
    </w:p>
    <w:p w:rsidR="008043F9" w:rsidRDefault="008043F9">
      <w:pPr>
        <w:pStyle w:val="ConsPlusTitle"/>
        <w:jc w:val="center"/>
      </w:pPr>
      <w:r>
        <w:t>ОТ 18.01.2019 N 14-Р "ОБ УТВЕРЖДЕНИИ ПЛАНА МЕРОПРИЯТИЙ</w:t>
      </w:r>
    </w:p>
    <w:p w:rsidR="008043F9" w:rsidRDefault="008043F9">
      <w:pPr>
        <w:pStyle w:val="ConsPlusTitle"/>
        <w:jc w:val="center"/>
      </w:pPr>
      <w:r>
        <w:t>("ДОРОЖНОЙ КАРТЫ") "СОЗДАНИЕ В КЕМЕРОВСКОЙ ОБЛАСТИ</w:t>
      </w:r>
    </w:p>
    <w:p w:rsidR="008043F9" w:rsidRDefault="008043F9">
      <w:pPr>
        <w:pStyle w:val="ConsPlusTitle"/>
        <w:jc w:val="center"/>
      </w:pPr>
      <w:r>
        <w:t>СИСТЕМЫ ДОЛГОВРЕМЕННОГО УХОДА ЗА ГРАЖДАНАМИ ПОЖИЛОГО</w:t>
      </w:r>
    </w:p>
    <w:p w:rsidR="008043F9" w:rsidRDefault="008043F9">
      <w:pPr>
        <w:pStyle w:val="ConsPlusTitle"/>
        <w:jc w:val="center"/>
      </w:pPr>
      <w:r>
        <w:t>ВОЗРАСТА И ИНВАЛИДАМИ" НА 2019 - 2021 ГОДЫ"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план</w:t>
        </w:r>
      </w:hyperlink>
      <w:r>
        <w:t xml:space="preserve"> мероприятий ("дорожную карту") "Создание в Кемеровской области системы долговременного ухода за гражданами пожилого возраста и инвалидами" на 2019 - 2021 годы, утвержденный распоряжением Коллегии Администрации Кемеровской области от 18.01.2019 N 14-р (в редакции распоряжения Коллегии Администрации Кемеровской области от 14.03.2019 N 156-р), изменения, изложив его в новой редакции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(по вопросам социального развития) Малышеву Е.И.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right"/>
      </w:pPr>
      <w:r>
        <w:t>И.о. Губернатора</w:t>
      </w:r>
    </w:p>
    <w:p w:rsidR="008043F9" w:rsidRDefault="008043F9">
      <w:pPr>
        <w:pStyle w:val="ConsPlusNormal"/>
        <w:jc w:val="right"/>
      </w:pPr>
      <w:r>
        <w:t>Кемеровской области - Кузбасса</w:t>
      </w:r>
    </w:p>
    <w:p w:rsidR="008043F9" w:rsidRDefault="008043F9">
      <w:pPr>
        <w:pStyle w:val="ConsPlusNormal"/>
        <w:jc w:val="right"/>
      </w:pPr>
      <w:r>
        <w:t>В.Н.ТЕЛЕГИН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right"/>
        <w:outlineLvl w:val="0"/>
      </w:pPr>
      <w:r>
        <w:t>Приложение</w:t>
      </w:r>
    </w:p>
    <w:p w:rsidR="008043F9" w:rsidRDefault="008043F9">
      <w:pPr>
        <w:pStyle w:val="ConsPlusNormal"/>
        <w:jc w:val="right"/>
      </w:pPr>
      <w:r>
        <w:t>к распоряжению Правительства</w:t>
      </w:r>
    </w:p>
    <w:p w:rsidR="008043F9" w:rsidRDefault="008043F9">
      <w:pPr>
        <w:pStyle w:val="ConsPlusNormal"/>
        <w:jc w:val="right"/>
      </w:pPr>
      <w:r>
        <w:t>Кемеровской области - Кузбасса</w:t>
      </w:r>
    </w:p>
    <w:p w:rsidR="008043F9" w:rsidRDefault="008043F9">
      <w:pPr>
        <w:pStyle w:val="ConsPlusNormal"/>
        <w:jc w:val="right"/>
      </w:pPr>
      <w:r>
        <w:t>от 2 октября 2019 г. N 601-р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</w:pPr>
      <w:bookmarkStart w:id="0" w:name="P31"/>
      <w:bookmarkEnd w:id="0"/>
      <w:r>
        <w:t>ПЛАН</w:t>
      </w:r>
    </w:p>
    <w:p w:rsidR="008043F9" w:rsidRDefault="008043F9">
      <w:pPr>
        <w:pStyle w:val="ConsPlusTitle"/>
        <w:jc w:val="center"/>
      </w:pPr>
      <w:r>
        <w:t>МЕРОПРИЯТИЙ ("ДОРОЖНАЯ КАРТА") "СОЗДАНИЕ</w:t>
      </w:r>
    </w:p>
    <w:p w:rsidR="008043F9" w:rsidRDefault="008043F9">
      <w:pPr>
        <w:pStyle w:val="ConsPlusTitle"/>
        <w:jc w:val="center"/>
      </w:pPr>
      <w:r>
        <w:t>В КЕМЕРОВСКОЙ ОБЛАСТИ СИСТЕМЫ ДОЛГОВРЕМЕННОГО УХОДА</w:t>
      </w:r>
    </w:p>
    <w:p w:rsidR="008043F9" w:rsidRDefault="008043F9">
      <w:pPr>
        <w:pStyle w:val="ConsPlusTitle"/>
        <w:jc w:val="center"/>
      </w:pPr>
      <w:r>
        <w:t>ЗА ГРАЖДАНАМИ ПОЖИЛОГО ВОЗРАСТА И ИНВАЛИДАМИ"</w:t>
      </w:r>
    </w:p>
    <w:p w:rsidR="008043F9" w:rsidRDefault="008043F9">
      <w:pPr>
        <w:pStyle w:val="ConsPlusTitle"/>
        <w:jc w:val="center"/>
      </w:pPr>
      <w:r>
        <w:t>НА 2019 - 2021 ГОДЫ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>1. Общее описание "дорожной карты"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>Увеличение численности лиц старше трудоспособного возраста и их удельного веса в общей численности населения Кемеровской области увеличивает потребность граждан пожилого возраста в социальных услугах и медицинской помощи, которые должны оказываться с учетом их возрастных и физиологических особенностей.</w:t>
      </w:r>
    </w:p>
    <w:p w:rsidR="008043F9" w:rsidRDefault="00804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2268"/>
        <w:gridCol w:w="2721"/>
        <w:gridCol w:w="2835"/>
      </w:tblGrid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Годы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Численность населения, человек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Лица старше трудоспособного возраста, человек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Доля лиц </w:t>
            </w:r>
            <w:proofErr w:type="gramStart"/>
            <w:r>
              <w:t>старше трудоспособного возраста от общей численности населения, процентов</w:t>
            </w:r>
            <w:proofErr w:type="gramEnd"/>
          </w:p>
        </w:tc>
      </w:tr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2738262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625324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>22,8</w:t>
            </w:r>
          </w:p>
        </w:tc>
      </w:tr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2734075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638653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>23,4</w:t>
            </w:r>
          </w:p>
        </w:tc>
      </w:tr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2724990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652727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>23,9</w:t>
            </w:r>
          </w:p>
        </w:tc>
      </w:tr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2696155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667575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>24,8</w:t>
            </w:r>
          </w:p>
        </w:tc>
      </w:tr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2681215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674184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>25,1</w:t>
            </w:r>
          </w:p>
        </w:tc>
      </w:tr>
      <w:tr w:rsidR="008043F9">
        <w:tc>
          <w:tcPr>
            <w:tcW w:w="1170" w:type="dxa"/>
          </w:tcPr>
          <w:p w:rsidR="008043F9" w:rsidRDefault="008043F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68" w:type="dxa"/>
          </w:tcPr>
          <w:p w:rsidR="008043F9" w:rsidRDefault="008043F9">
            <w:pPr>
              <w:pStyle w:val="ConsPlusNormal"/>
              <w:jc w:val="center"/>
            </w:pPr>
            <w:r>
              <w:t>2665681</w:t>
            </w:r>
          </w:p>
        </w:tc>
        <w:tc>
          <w:tcPr>
            <w:tcW w:w="2721" w:type="dxa"/>
          </w:tcPr>
          <w:p w:rsidR="008043F9" w:rsidRDefault="008043F9">
            <w:pPr>
              <w:pStyle w:val="ConsPlusNormal"/>
              <w:jc w:val="center"/>
            </w:pPr>
            <w:r>
              <w:t>681192</w:t>
            </w:r>
          </w:p>
        </w:tc>
        <w:tc>
          <w:tcPr>
            <w:tcW w:w="2835" w:type="dxa"/>
          </w:tcPr>
          <w:p w:rsidR="008043F9" w:rsidRDefault="008043F9">
            <w:pPr>
              <w:pStyle w:val="ConsPlusNormal"/>
              <w:jc w:val="center"/>
            </w:pPr>
            <w:r>
              <w:t>25,6</w:t>
            </w:r>
          </w:p>
        </w:tc>
      </w:tr>
    </w:tbl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>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Для реализации указанной задачи необходимо внедрение новых форм ухода и патронажа, которые позволят поддержать социальную активность, психологический и физический статус граждан пожилого возраста, а также улучшить качество их жизни вне зависимости от места проживания.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плана мероприятий ("дорожной карты") "Создание в Кемеровской области системы долговременного ухода за гражданами пожилого возраста и инвалидами" на 2019 - 2021 годы (далее - "дорожная карта") направлена на 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</w:t>
      </w:r>
      <w:proofErr w:type="spellStart"/>
      <w:r>
        <w:t>полустационарной</w:t>
      </w:r>
      <w:proofErr w:type="spellEnd"/>
      <w:r>
        <w:t xml:space="preserve"> и стационарной форме с привлечением патронажной службы и сиделок, а также на</w:t>
      </w:r>
      <w:proofErr w:type="gramEnd"/>
      <w:r>
        <w:t xml:space="preserve"> поддержку семейного ухода (далее - система долговременного ухода, СДУ).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 Кемеровской области функционирует 24 государственные стационарные организации социального обслуживания (5 715 коек), в том числе 13 психоневрологических интернатов, 6 домов-интернатов для престарелых и инвалидов, 1 дом милосердия, 1 специальный дом-интернат для престарелых и инвалидов, 3 детских дома-интерната для умственно отсталых детей. В реестре поставщиков социальных услуг находятся 5 негосударственных организаций социального обслуживания, предоставляющих социальные услуги в стационарной форме социального обслуживания.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систему организаций социального обслуживания, предоставляющих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гражданам пожилого возраста, инвалидам и лицам без определенного места жительства, входит 46 центров социального обслуживания, 3 учреждения для лиц без определенного места жительства. В реестре поставщиков социальных услуг находятся 6 негосударственных организаций социального обслуживания, предоставляющих социальные услуги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 структуре центров социального обслуживания действуют следующие подразделения: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49 отделений срочного социального обслуживания;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26 отделений дневного пребывания;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11 отделений социальной реабилитации;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lastRenderedPageBreak/>
        <w:t>274 отделения социального обслуживания на дому.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 2018 году услуги отделений срочного социального обслуживания получили 326,2 тыс. человек (2017 год - 345,3 тыс. человек). Услуги отделений дневного пребывания получили 7643 человека (2017 год - 7784 человека).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Количество услуг, оказанных центрами социального обслуживания, в 2018 году составило 30,6 млн. единиц (2017 год - 27,5 млн. единиц).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 осуществляется согласно утвержденным тарифам на социальные услуги. </w:t>
      </w:r>
      <w:proofErr w:type="gramStart"/>
      <w:r>
        <w:t xml:space="preserve">Тарифы на социальные услуги утверждаются региональной энергетической комиссией Кемеровской области по социальным услугам, включенным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16.09.2014 N 362 "Об установлении Порядка утверждения тарифов на социальные услуги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услуг". </w:t>
      </w:r>
      <w:proofErr w:type="gramStart"/>
      <w:r>
        <w:t xml:space="preserve">Тарифы на социальные услуги утверждены постановлениями региональной энергетической комиссии Кемеровской области от 18.03.2016 </w:t>
      </w:r>
      <w:hyperlink r:id="rId7" w:history="1">
        <w:r>
          <w:rPr>
            <w:color w:val="0000FF"/>
          </w:rPr>
          <w:t>N 21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Кемеровской области", от 08.12.2015 </w:t>
      </w:r>
      <w:hyperlink r:id="rId8" w:history="1">
        <w:r>
          <w:rPr>
            <w:color w:val="0000FF"/>
          </w:rPr>
          <w:t>N 782</w:t>
        </w:r>
      </w:hyperlink>
      <w:r>
        <w:t xml:space="preserve">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</w:t>
      </w:r>
      <w:proofErr w:type="gramEnd"/>
      <w:r>
        <w:t xml:space="preserve">, </w:t>
      </w:r>
      <w:proofErr w:type="gramStart"/>
      <w:r>
        <w:t>предоставляемые поставщиками социальных услуг в стационарной форме социального обслуживания в Кемеровской области".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поэтапному обеспечению доступа социально ориентированных некоммерческих организаций, осуществляющих деятельность в сфере социальной защиты и социального обслуживания, к бюджетным средствам, выделяемым на предоставление услуг в социальной сфере, включены в государственную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Кемеровской области "Социальная поддержка населения Кузбасса" на 2014 - 2021 годы, утвержденную постановлением Коллегии Администрации Кемеровской области от 25.10.2013 N 468.</w:t>
      </w:r>
      <w:proofErr w:type="gramEnd"/>
      <w:r>
        <w:t xml:space="preserve"> Рынок услуг социального обслуживания населения включен в перечень приоритетных и социально значимых рынков для содействия развитию конкуренции в Кемеровской области. Стандарт развития конкуренции в Кемеровской области (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Губернатора Кемеровской области от 23.11.2016 N 98-рг "О внедрении Стандарта развития конкуренции в Кемеровской области") включает мероприятия по содействию развитию конкуренции на рынке услуг социального обслуживания населения.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Кемеровской области развиваются </w:t>
      </w:r>
      <w:proofErr w:type="spellStart"/>
      <w:r>
        <w:t>стационарозамещающие</w:t>
      </w:r>
      <w:proofErr w:type="spellEnd"/>
      <w:r>
        <w:t xml:space="preserve"> технологии социального обслуживания, в том числе приемные семьи для граждан пожилого возраста и инвалидов, сопровождаемое проживание.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 2019 году начата работа по организации учебного (тренировочного) социального сопровождения малых групп инвалидов (из числа получателей социальных услуг) с ментальными нарушениями на базе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 государственных стационарных организациях социального обслуживания психоневрологического профиля на базе высвобожденных площадей организованы 4 тренировочные квартиры (ГБУ Кемеровской области "</w:t>
      </w:r>
      <w:proofErr w:type="spellStart"/>
      <w:r>
        <w:t>Прокопьевский</w:t>
      </w:r>
      <w:proofErr w:type="spellEnd"/>
      <w:r>
        <w:t xml:space="preserve"> психоневрологический интернат", ГБУ Кемеровской области "</w:t>
      </w:r>
      <w:proofErr w:type="spellStart"/>
      <w:r>
        <w:t>Краснинский</w:t>
      </w:r>
      <w:proofErr w:type="spellEnd"/>
      <w:r>
        <w:t xml:space="preserve"> психоневрологический интернат", ГАУ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интернат", ГКУ Кемеровской области "</w:t>
      </w:r>
      <w:proofErr w:type="spellStart"/>
      <w:r>
        <w:t>Гурьевский</w:t>
      </w:r>
      <w:proofErr w:type="spellEnd"/>
      <w:r>
        <w:t xml:space="preserve"> психоневрологический интернат"), социально-бытовые комнаты, которые представляют собой специально подготовленные и оборудованные помещения. В организациях социального обслуживания разработаны и внедрены в практику работы программы по обучению навыкам социально-бытовой адаптации и самостоятельного проживания. Работа по разработке и </w:t>
      </w:r>
      <w:r>
        <w:lastRenderedPageBreak/>
        <w:t>внедрению программ по обучению навыкам социально-бытовой адаптации и самостоятельного проживания уже имеет положительные результаты. Так, за 2017 - 2018 годы 33 получателя социальных услуг снялись со стационарного социального обслуживания для дальнейшего самостоятельного проживания.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С 2018 года на базе ГАУ Кемеровской области "Кемеровский дом-интернат для пожилых и инвалидов" реализуется проект "Дневной центр" для пожилых людей (в настоящее время на 10 мест). Технология направлена на повышение качества жизни одиноко проживающих граждан пожилого возраста и инвалидов, оказание помощи семьям, осуществляющим уход за людьми с ограниченными возможностями здоровья. Данная технология включает в себя предоставление социальных услуг, в том числе медицинское обслуживание, </w:t>
      </w:r>
      <w:proofErr w:type="spellStart"/>
      <w:r>
        <w:t>досуговые</w:t>
      </w:r>
      <w:proofErr w:type="spellEnd"/>
      <w:r>
        <w:t xml:space="preserve"> программы и психолого-социальную поддержку.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Очень широко оказываются услуги социального такси. Парк автотранспорта социального такси насчитывает 39 машин. Данная технология позволяет повысить социальную активность людей с ограниченными возможностями. В 2018 году данной услугой воспользовались 9 тыс. человек (в 2017 году - 9 тыс. человек).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Действующая сеть организаций социального обслуживания учитывает особенности сельских территорий Кемеровской области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Таким образом, сегодня в Кузбассе имеются все необходимые ресурсы для создания системы долговременного ухода.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2019 году Кемеровская область вошла в число 12 субъектов Российской Федерации, осуществляющих реализацию </w:t>
      </w:r>
      <w:proofErr w:type="spellStart"/>
      <w:r>
        <w:t>пилотного</w:t>
      </w:r>
      <w:proofErr w:type="spellEnd"/>
      <w:r>
        <w:t xml:space="preserve"> проекта по созданию системы долговременного ухода за гражданами пожилого возраста и инвалидами (далее - </w:t>
      </w:r>
      <w:proofErr w:type="spellStart"/>
      <w:r>
        <w:t>пилотный</w:t>
      </w:r>
      <w:proofErr w:type="spellEnd"/>
      <w:r>
        <w:t xml:space="preserve"> проект).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Для реализации </w:t>
      </w:r>
      <w:proofErr w:type="spellStart"/>
      <w:r>
        <w:t>пилотного</w:t>
      </w:r>
      <w:proofErr w:type="spellEnd"/>
      <w:r>
        <w:t xml:space="preserve"> проекта в 2019 году определены: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proofErr w:type="spellStart"/>
      <w:r>
        <w:t>пилотные</w:t>
      </w:r>
      <w:proofErr w:type="spellEnd"/>
      <w:r>
        <w:t xml:space="preserve"> муниципальные образования - город Кемерово, Анжеро-Судженский и </w:t>
      </w:r>
      <w:proofErr w:type="spellStart"/>
      <w:r>
        <w:t>Прокопьевский</w:t>
      </w:r>
      <w:proofErr w:type="spellEnd"/>
      <w:r>
        <w:t xml:space="preserve"> городские округа;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>организации социального обслуживания - ГБУ Кемеровской области "Анжеро-Судженский дом-интернат для престарелых и инвалидов", ГБУ Кемеровской области "Анжеро-Судженский психоневрологический интернат", МБУ Анжеро-Судженского городского округа "Анжеро-Судженский Комплексный центр социального обслуживания населения", ГБУ Кемеровской области "Кедровский психоневрологический интернат", ГАУ Кемеровской области "Кемеровский дом-интернат для престарелых и инвалидов", МАУ "Комплексный центр социального обслуживания населения Кировского района города Кемерово", МБУ "Центр социального обслуживания населения", г. Прокопьевск;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 - ГАУЗ Кемеровской области "Анжеро-Судженская городская больница", ГБУЗ Кемеровской области "Кемеровская городская больница N 13", ГАУЗ Кемеровской области "Кемеровская городская клиническая больница N 4", ГАУЗ Кемеровской области "Кемеровская городская клиническая больница N 11",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1",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3",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4", ГБУЗ Кемеровской</w:t>
      </w:r>
      <w:proofErr w:type="gramEnd"/>
      <w:r>
        <w:t xml:space="preserve"> области "</w:t>
      </w:r>
      <w:proofErr w:type="spellStart"/>
      <w:r>
        <w:t>Прокопьевская</w:t>
      </w:r>
      <w:proofErr w:type="spellEnd"/>
      <w:r>
        <w:t xml:space="preserve"> городская поликлиника".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состоянию на 01.06.2019 в рамках создания системы долговременного ухода: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разработаны нормативные правовые акты, обеспечивающие создание системы долговременного ухода;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создана межведомственная рабочая группа по реализации </w:t>
      </w:r>
      <w:proofErr w:type="spellStart"/>
      <w:r>
        <w:t>пилотного</w:t>
      </w:r>
      <w:proofErr w:type="spellEnd"/>
      <w:r>
        <w:t xml:space="preserve"> проекта под руководством заместителя Губернатора Кемеровской области (по вопросам социального развития) с участием представителей исполнительных органов государственной власти Кемеровской области - Кузбасса в сферах социальной защиты, здравоохранения, финансовой политики, экономики и иных сферах, представителей главного бюро медико-социальной экспертизы по Кемеровской области, Кузбасского регионального отделения Фонда социального страхования Российской Федерации, благотворительного фонда помощи пожилым людям</w:t>
      </w:r>
      <w:proofErr w:type="gramEnd"/>
      <w:r>
        <w:t xml:space="preserve"> </w:t>
      </w:r>
      <w:proofErr w:type="gramStart"/>
      <w:r>
        <w:t>и инвалидам "Старость в радость" (далее - фонд "Старость в радость"), благотворительного фонда системной помощи пожилым людям и инвалидам "Старшие" (далее - фонд "Старшие") и иных организаций;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r>
        <w:t>в организациях социального обслуживания определены лица, ответственные за организацию ухода за получателями социальных услуг на дому;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организовано проведение типизации граждан,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(типизацию прошли 3318 человек (55,8%).</w:t>
      </w:r>
      <w:proofErr w:type="gramEnd"/>
      <w:r>
        <w:t xml:space="preserve">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гражданами, нуждающимися (потенциально нуждающимися) в предоставлении социальных услуг (далее - медицинские рекомендации по уходу), полученных от медицинских организаций, для граждан, в отношении которых проведена процедура типизации;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для организации работы в штатное расписание организаций социального обслуживания введено 28 ставок сиделок (помощников по уходу);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организованы школы ухода с тремя форматами работы (групповые и индивидуальные занятия, а также выход работников школы ухода на дом к </w:t>
      </w:r>
      <w:proofErr w:type="gramStart"/>
      <w:r>
        <w:t>проживающему</w:t>
      </w:r>
      <w:proofErr w:type="gramEnd"/>
      <w:r>
        <w:t>) для обучения граждан, осуществляющих неформальный уход;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сформированы группы граждан с когнитивными нарушениями, ограничениями мобильности для получения социальных услуг в отделениях дневного пребывания;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пилотных</w:t>
      </w:r>
      <w:proofErr w:type="spellEnd"/>
      <w:r>
        <w:t xml:space="preserve"> муниципальных образованиях организована работа пунктов проката технических средств реабилитации (далее - ТСР);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организована работа волонтеров с гражданами, получающими социальные услуги на дому и в стационарных организациях социального обслуживания, в рамках </w:t>
      </w:r>
      <w:proofErr w:type="spellStart"/>
      <w:r>
        <w:t>пилотного</w:t>
      </w:r>
      <w:proofErr w:type="spellEnd"/>
      <w:r>
        <w:t xml:space="preserve"> проекта (заключены 7 соглашений с волонтерскими организациями, привлечено 217 волонтеров к работе с гражданами, получающими социальные услуги);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разработаны и утверждены критерии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обучено более 100 сотрудников организаций социального обслуживания.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ind w:firstLine="540"/>
        <w:jc w:val="both"/>
        <w:outlineLvl w:val="2"/>
      </w:pPr>
      <w:r>
        <w:t xml:space="preserve">Состояние </w:t>
      </w:r>
      <w:proofErr w:type="spellStart"/>
      <w:r>
        <w:t>гериатрической</w:t>
      </w:r>
      <w:proofErr w:type="spellEnd"/>
      <w:r>
        <w:t xml:space="preserve"> службы Кемеровской области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 xml:space="preserve">В Кемеровской области число лиц старше трудоспособного возраста в 2018 году составило </w:t>
      </w:r>
      <w:r>
        <w:lastRenderedPageBreak/>
        <w:t>690,4 тыс. человек, или 25,6 процента от всего населения.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помощь гражданам пожилого возраста оказывается в рамках Территориальной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годов, утвержденной Законом Кемеровской области от 26.12.2018 N 126-ОЗ "Об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годов" (далее - Территориальная</w:t>
      </w:r>
      <w:proofErr w:type="gramEnd"/>
      <w:r>
        <w:t xml:space="preserve"> программа государственных гарантий бесплатного оказания гражданам медицинской помощи) по всем видам: первичная медико-санитарная помощь, специализированная, в том числе высокотехнологичная, скорая, в том числе скорая специализированная, реабилитационная.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spellStart"/>
      <w:r>
        <w:t>Гериатрическая</w:t>
      </w:r>
      <w:proofErr w:type="spellEnd"/>
      <w:r>
        <w:t xml:space="preserve"> служба организуется как единая система долговременной медицинской и социальной помощи, обеспечивающая преемственность ведения пациента на различных уровнях системы, а также между службами здравоохранения и социальной защиты. Со стороны здравоохранения медицинская помощь по профилю "гериатрия"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29.01.2016 N 38н "Об утверждении Порядка оказания медицинской помощи по профилю "гериатрия". В соответствии с указанным приказом медицинская помощь по профилю "гериатрия" оказывается медицинскими организациями, имеющими лицензию на медицинскую деятельность, включая работы и услуги по гериатрии, на основании стандартов медицинской помощи и с учетом клинических рекомендаций (протоколов лечения).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2018 году лицензию на работы и услуги по гериатрии имели 7 медицинских организаций: </w:t>
      </w:r>
      <w:proofErr w:type="gramStart"/>
      <w:r>
        <w:t>ГАУЗ Кемеровской области "Областной клинический госпиталь для ветеранов войн", ГБУЗ Кемеровской области "Кемеровская городская клиническая больница N 2", ГБУЗ Кемеровской области "Кемеровская городская клиническая поликлиника N 20", ГБУЗ Кемеровской области "Новокузнецкая районная больница", ГБУЗ Кемеровской области "Междуреченская городская больница", ГАУЗ Кемеровской области "Областной клинический центр охраны здоровья шахтеров", ГБУЗ Кемеровской области "</w:t>
      </w:r>
      <w:proofErr w:type="spellStart"/>
      <w:r>
        <w:t>Юргинская</w:t>
      </w:r>
      <w:proofErr w:type="spellEnd"/>
      <w:r>
        <w:t xml:space="preserve"> городская больница".</w:t>
      </w:r>
      <w:proofErr w:type="gramEnd"/>
      <w:r>
        <w:t xml:space="preserve"> Действуют 6 приемов врача-гериатра.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Обеспеченность </w:t>
      </w:r>
      <w:proofErr w:type="spellStart"/>
      <w:r>
        <w:t>гериатрическими</w:t>
      </w:r>
      <w:proofErr w:type="spellEnd"/>
      <w:r>
        <w:t xml:space="preserve"> койками (на 10000 населения в возрасте старше трудоспособного возраста) в 2018 году составила 0,8; обеспеченность врачами-гериатрами в 2018 году - 0,07 (на 10000 населения в возрасте старше трудоспособного возраста). На базе ГБУЗ Кемеровской области "Кемеровская городская клиническая больница N 2" функционирует специализированное </w:t>
      </w:r>
      <w:proofErr w:type="spellStart"/>
      <w:r>
        <w:t>гериатрическое</w:t>
      </w:r>
      <w:proofErr w:type="spellEnd"/>
      <w:r>
        <w:t xml:space="preserve"> стационарное отделение на 53 койки, в 2018 году в нем пролечено 1768 пациентов. Посещения к гериатрам - 1192 пациента.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2018 году доля лиц старше трудоспособного возраста, прошедших диспансеризацию, от численности населения старше трудоспособного возраста, подлежащего осмотрам, составила 98 процентов. Амбулаторная помощь лицам пожилого возраста оказывается врачами всех специальностей. </w:t>
      </w:r>
      <w:proofErr w:type="gramStart"/>
      <w:r>
        <w:t>Число посещений к врачам на 1 пожилого человека в 2018 году составило 7, из которых 74,2 процента - посещения по заболеваниям.</w:t>
      </w:r>
      <w:proofErr w:type="gramEnd"/>
      <w:r>
        <w:t xml:space="preserve"> Число случаев госпитализации на одного человека старше трудоспособного возраста составило 0,26.</w:t>
      </w:r>
    </w:p>
    <w:p w:rsidR="008043F9" w:rsidRDefault="008043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43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F9" w:rsidRDefault="008043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43F9" w:rsidRDefault="008043F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России N 38н издан 29.01.2016, а не 16.12.2016.</w:t>
            </w:r>
          </w:p>
        </w:tc>
      </w:tr>
    </w:tbl>
    <w:p w:rsidR="008043F9" w:rsidRDefault="008043F9">
      <w:pPr>
        <w:pStyle w:val="ConsPlusNormal"/>
        <w:spacing w:before="280"/>
        <w:ind w:firstLine="540"/>
        <w:jc w:val="both"/>
      </w:pPr>
      <w:proofErr w:type="gramStart"/>
      <w:r>
        <w:t xml:space="preserve">Приказом департамента охраны здоровья населения Кемеровской области от 24.11.2018 N 2075 в целях реализации регионального проекта "Старшее поколение", выполнения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16.12.2016 N 38н "Об утверждении Порядка оказания медицинской помощи по профилю "гериатрия" с 01.01.2019 на базе ГАУЗ Кемеровской области "Областной клинический </w:t>
      </w:r>
      <w:r>
        <w:lastRenderedPageBreak/>
        <w:t xml:space="preserve">госпиталь для ветеранов войн" создан областной </w:t>
      </w:r>
      <w:proofErr w:type="spellStart"/>
      <w:r>
        <w:t>гериатрический</w:t>
      </w:r>
      <w:proofErr w:type="spellEnd"/>
      <w:r>
        <w:t xml:space="preserve"> центр (далее - центр).</w:t>
      </w:r>
      <w:proofErr w:type="gramEnd"/>
      <w:r>
        <w:t xml:space="preserve"> Целями деятельности центра являются удовлетворение потребности пациентов старших возрастных гру</w:t>
      </w:r>
      <w:proofErr w:type="gramStart"/>
      <w:r>
        <w:t>пп в сп</w:t>
      </w:r>
      <w:proofErr w:type="gramEnd"/>
      <w:r>
        <w:t xml:space="preserve">ециализированной медицинской помощи, координация деятельности медицинских организаций и службы социальной защиты населения в целях обеспечения преемственности и взаимодействия по организации оказания медицинской помощи по профилю "гериатрия". Коечная мощность центра - 30 коек, в том числе 15 коек кардиологического, 7 - неврологического и 8 - терапевтического профиля. Консультативный прием пациентов </w:t>
      </w:r>
      <w:proofErr w:type="spellStart"/>
      <w:r>
        <w:t>гериатрического</w:t>
      </w:r>
      <w:proofErr w:type="spellEnd"/>
      <w:r>
        <w:t xml:space="preserve"> профиля предусмотрен на базе поликлиники ГАУЗ Кемеровской области "Областной клинический госпиталь ветеранов войн". Центр также является клинической базой образовательных учреждений среднего, высшего и дополнительного профессионального образования, обучающих специалистов для оказания населению медицинской помощи по профилю "гериатрия".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Большое внимание уделяется доступности медицинской помощи для </w:t>
      </w:r>
      <w:proofErr w:type="spellStart"/>
      <w:r>
        <w:t>маломобильных</w:t>
      </w:r>
      <w:proofErr w:type="spellEnd"/>
      <w:r>
        <w:t xml:space="preserve"> граждан </w:t>
      </w:r>
      <w:proofErr w:type="spellStart"/>
      <w:r>
        <w:t>гериатрической</w:t>
      </w:r>
      <w:proofErr w:type="spellEnd"/>
      <w:r>
        <w:t xml:space="preserve"> группы, имеющих статус контингента особого внимания (КОВ), по состоянию здоровья не способных выйти за пределы своего жилища. На базе ГАУЗ Кемеровской области "Областной клинический госпиталь для ветеранов войн" оказывается выездная лечебно-реабилитационная помощь по программе "Санаторий на дому", включающая медикаментозное лечение, когнитивные тренировки, физиотерапевтическое лечение, массаж, лечебную гимнастику. Ежегодно комплексную медицинскую лечебно-реабилитационную помощь на дому получают свыше 200 ветеранов.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первом полугодии 2019 года для развития </w:t>
      </w:r>
      <w:proofErr w:type="spellStart"/>
      <w:r>
        <w:t>гериатрической</w:t>
      </w:r>
      <w:proofErr w:type="spellEnd"/>
      <w:r>
        <w:t xml:space="preserve"> помощи населению Кемеровской области обучено 110 специалистов со средним медицинским образованием по профилю "гериатрия". С 08.04.2019 по 30.06.2019 проводится профессиональная переподготовка 48 врачей-специалистов по профилю "гериатрия".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Приказом </w:t>
      </w:r>
      <w:proofErr w:type="gramStart"/>
      <w:r>
        <w:t>департамента охраны здоровья населения Кемеровской области</w:t>
      </w:r>
      <w:proofErr w:type="gramEnd"/>
      <w:r>
        <w:t xml:space="preserve"> от 20.02.2019 N 333 утвержден перечень медицинских организаций для открытия </w:t>
      </w:r>
      <w:proofErr w:type="spellStart"/>
      <w:r>
        <w:t>гериатрических</w:t>
      </w:r>
      <w:proofErr w:type="spellEnd"/>
      <w:r>
        <w:t xml:space="preserve"> приемов и </w:t>
      </w:r>
      <w:proofErr w:type="spellStart"/>
      <w:r>
        <w:t>гериатрических</w:t>
      </w:r>
      <w:proofErr w:type="spellEnd"/>
      <w:r>
        <w:t xml:space="preserve"> коек до конца 2019 года.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ind w:firstLine="540"/>
        <w:jc w:val="both"/>
        <w:outlineLvl w:val="2"/>
      </w:pPr>
      <w:r>
        <w:t>Реабилитационная помощь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>Обеспеченность койками медицинской реабилитации в Кемеровской области составляет 2,16 на 10 тыс. населения (1,89 на 10 тыс. населения в 2017 году). Обеспеченность круглосуточными стационарными койками медицинской реабилитации - 1,41 на 10 тыс. населения (1,39 на 10 тыс. населения в 2017 году).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Существующая сеть стационаров, обеспеченность их медицинской и компьютерной техникой,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Число медицинских организаций,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помощи, составило 17, из них 11 - государственные медицинские организации, находящиеся в ведении </w:t>
      </w:r>
      <w:proofErr w:type="gramStart"/>
      <w:r>
        <w:t>департамента охраны здоровья населения Кемеровской области</w:t>
      </w:r>
      <w:proofErr w:type="gramEnd"/>
      <w:r>
        <w:t>. Указанные медицинские организации имеют лицензию на оказание специализированной медицинской помощи по медицинской реабилитации.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стационарах, из них 434 - койки государственных медицинских организаций, находящихся в ведении департамента охраны здоровья населения Кемеровской области, 150 - койки федеральных медицинских организаций (ФГБУ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 и </w:t>
      </w:r>
      <w:r>
        <w:lastRenderedPageBreak/>
        <w:t>ФКУЗ "Медико-санитарная часть Министерства внутренних</w:t>
      </w:r>
      <w:proofErr w:type="gramEnd"/>
      <w:r>
        <w:t xml:space="preserve"> дел Российской Федерации по Кемеровской области") и 77 - частных (НУЗ "Узловая больница на станции Белово ОАО "Российские железные дороги", ПАО Санаторий "</w:t>
      </w:r>
      <w:proofErr w:type="spellStart"/>
      <w:r>
        <w:t>Прокопьевский</w:t>
      </w:r>
      <w:proofErr w:type="spellEnd"/>
      <w:r>
        <w:t xml:space="preserve">", ООО "Центр реабилитации и восстановления" </w:t>
      </w:r>
      <w:proofErr w:type="gramStart"/>
      <w:r>
        <w:t>г</w:t>
      </w:r>
      <w:proofErr w:type="gramEnd"/>
      <w:r>
        <w:t>. Прокопьевск), работающих в системе обязательного медицинского страхования.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 структуре специализированных коек второго этапа медицинской реабилитации (койки стационаров и дневных стационаров при стационарах) для взрослых койки по профилю заболеваний центральной нервной системы составляют 26,8 процента; опорно-двигательного аппарата - 24,6 процента; кардиологического профиля - 12,7 процента.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Кемерово, Новокузнецка, Прокопьевска, Калтана, а также в амбулаторных условиях.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ind w:firstLine="540"/>
        <w:jc w:val="both"/>
        <w:outlineLvl w:val="2"/>
      </w:pPr>
      <w:r>
        <w:t>Оказание паллиативной медицинской помощи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>Для оказания паллиативной медицинской помощи населению в Кемеровской области действуют: ГКУЗ Кемеровской области "Кемеровский областной хоспис" и 6 стационарных отделений паллиативной медицинской помощи, из них 2 отделения паллиативной медицинской помощи для детей.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Общая коечная мощность паллиативной службы - 244 койки, из них детских - 47, коек онкологического профиля - 70 (ГАУЗ Кемеровской области "Кемеровская городская клиническая больница N 4" - 45 коек; ГБУЗ Кемеровской области "</w:t>
      </w:r>
      <w:proofErr w:type="spellStart"/>
      <w:r>
        <w:t>Прокопьевская</w:t>
      </w:r>
      <w:proofErr w:type="spellEnd"/>
      <w:r>
        <w:t xml:space="preserve"> городская больница N 2" - 25 коек).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Кроме того, функционирует 641 койка сестринского ухода, они развернуты на базе 20 медицинских организаций и 3 домов сестринского ухода.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На базах медицинских организаций Кемеровской области осуществляется амбулаторная паллиативная медицинская помощь, которая представлена 12 кабинетами паллиативной медицинской помощи и 5 выездными патронажными службами (3 для взрослых, 2 для детей).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Обеспеченность паллиативными койками для взрослых - 0,6 койки на 10 тыс. взрослого населения, для детей - 0,8 койки на 10 тыс. детского населения. Показатель обеспеченности койками сестринского ухода составляет 3,03 койки на 10 тыс. взрослого населения. На паллиативных койках и койках сестринского ухода в 2018 году получили медицинскую помощь 10484 пациента (2017 год - 9797).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>Из общего числа пролеченных на паллиативных койках 7,8 процента - дети.</w:t>
      </w:r>
      <w:proofErr w:type="gramEnd"/>
      <w:r>
        <w:t xml:space="preserve"> Доля онкологических больных составляет 42,9 процента из числа взрослых, пролеченных на паллиативных койках.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>В 2018 году выполнено 4703 (2017 год - 4770) амбулаторных посещения выездными патронажными службами паллиативной медицинской помощи, из них 137 - детям.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r>
        <w:t>Число пациентов, получивших помощь выездных патронажных служб, - 1644 человека.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Выездной патронажной службой паллиативной медицинской помощи ГКУЗ Кемеровской области "Кемеровский областной хоспис" в 2018 году осуществлено 25 выездов в отдаленные территории, осмотрено 256 пациентов.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На территории Кемеровской области действуют схемы маршрутизации паллиативных больных, разработанные совместно с профильными специалистами, согласно которым пациенты своевременно направляются в ГКУЗ Кемеровской области "Кемеровский областной хоспис", </w:t>
      </w:r>
      <w:r>
        <w:lastRenderedPageBreak/>
        <w:t>отделения паллиативной медицинской помощи городов, консультируются на дому врачами выездной службы паллиативной медицинской помощи.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Преемственность между медицинскими организациями, оказывающими помощь паллиативным пациентам на разных этапах заболевания, осуществляется на основании </w:t>
      </w:r>
      <w:proofErr w:type="gramStart"/>
      <w:r>
        <w:t>приказа департамента охраны здоровья населения Кемеровской области</w:t>
      </w:r>
      <w:proofErr w:type="gramEnd"/>
      <w:r>
        <w:t xml:space="preserve"> от 29.12.2016 N 1471 "О мерах, направленных на совершенствование организации онкологической помощи населению Кемеровской области".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>В Кемеровской области департаментом охраны здоровья населения Кемеровской области и медицинскими организациями обеспечивается соблюдение порядка назначения, выписки и отпуска лекарственных препаратов, содержащих наркотические средства и психотропные вещества, проводится ежеквартальный и ежегодный мониторинг достижения контрольных показателей плана мероприятий ("дорожной карты") "Повышение доступности наркотических средств и психотропных веществ для использования в медицинских целях".</w:t>
      </w:r>
      <w:proofErr w:type="gramEnd"/>
    </w:p>
    <w:p w:rsidR="008043F9" w:rsidRDefault="008043F9">
      <w:pPr>
        <w:pStyle w:val="ConsPlusNormal"/>
        <w:spacing w:before="220"/>
        <w:ind w:firstLine="540"/>
        <w:jc w:val="both"/>
      </w:pPr>
      <w:r>
        <w:t>Медицинские организации Кемеровской области, оказывающие паллиативную медицинскую помощь и первичную медико-санитарную помощь, используют в своей работе следующие рекомендации: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клинические рекомендации "Хронический болевой синдром (ХБС) у взрослых пациентов, нуждающихся в паллиативной медицинской помощи", утвержденные в 2016 году;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клинические рекомендации "Болевой синдром (БС) у детей, нуждающихся в паллиативной медицинской помощи", утвержденные в 2016 году;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методические рекомендации "Обезболивание взрослых и детей при оказании медицинской помощи" ФГБОУВО "Российский национальный исследовательский медицинский университет имени Н.И.Пирогова" Минздрава России, Москва, 2016;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рекомендации </w:t>
      </w:r>
      <w:proofErr w:type="spellStart"/>
      <w:r>
        <w:t>Rec</w:t>
      </w:r>
      <w:proofErr w:type="spellEnd"/>
      <w:r>
        <w:t xml:space="preserve"> (2003) Комитета Министров Совета Европы государствам-участникам по организации паллиативной помощи, принятые Комитетом Министров 12.11.2003.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Указанные пособия размещены на официальном сайте ГКУЗ Кемеровской области "Кемеровский областной хоспис", на базе которого организован организационно-методический отдел, а также доведены в печатном и электронном виде до медицинских организаций. Они используются при проведении обучающих семинаров для врачей и медицинских сестер по вопросам обезболивания неизлечимо больных пациентов.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С декабря 2014 года Кемеровская область перешла на упрощенные условия по выписке обезболивающих препаратов в соответствии с нормативной базой Минздрава России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охраны здоровья населения Кемеровской области от 29.11.2017 N 1871 "Об утверждении Алгоритма назначения и выдачи пациентам наркотических,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области, оказывающей медицинскую помощь</w:t>
      </w:r>
      <w:proofErr w:type="gramEnd"/>
      <w:r>
        <w:t xml:space="preserve"> в стационарных условиях".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препараты, сильнодействующие лекарственные препараты на срок приема до 5 дней.</w:t>
      </w:r>
    </w:p>
    <w:p w:rsidR="008043F9" w:rsidRDefault="008043F9">
      <w:pPr>
        <w:pStyle w:val="ConsPlusNormal"/>
        <w:spacing w:before="220"/>
        <w:ind w:firstLine="540"/>
        <w:jc w:val="both"/>
      </w:pPr>
      <w:proofErr w:type="gramStart"/>
      <w:r>
        <w:t xml:space="preserve">С целью улучшения качества оказания паллиативной помощи в Кемеровской области главным областным специалистом по паллиативной медицинской помощи департамента охраны здоровья населения Кемеровской области ежегодно проводятся обучающие семинары по лечению хронического болевого синдрома, по порядку назначения, выписывания и отпуска наркотических лекарственных препаратов для врачей и среднего медицинского персонала </w:t>
      </w:r>
      <w:r>
        <w:lastRenderedPageBreak/>
        <w:t>медицинских организаций Кемеровской области, оказывающих паллиативную медицинскую помощь и первичную медико-санитарную помощь.</w:t>
      </w:r>
      <w:proofErr w:type="gramEnd"/>
      <w:r>
        <w:t xml:space="preserve"> За 2018 год проведено 10 выездных семинаров (2017 год - 13), обучено 214 медицинских работников (2017 год - 331), из них 118 врачей и 96 специалистов со средним медицинским образованием.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Специалистами медицинских организаций Кемеровской области (заместителями главных врачей по медицинской части, заведующими отделениями), оказывающих первичную медико-санитарную помощь, специализированную медицинскую помощь, скорую медицинскую помощь, самостоятельно организуются и проводятся семинары по обезболивающей терапии. За 2018 год проведено 297 семинаров (2017 год - 165). В семинарах приняли участие 1089 врачей и средних медицинских работников (2017 год - 512).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С 2017 года в Кемеровской области проводятся дистанционные обучающие семинары (</w:t>
      </w:r>
      <w:proofErr w:type="spellStart"/>
      <w:r>
        <w:t>вебинары</w:t>
      </w:r>
      <w:proofErr w:type="spellEnd"/>
      <w:r>
        <w:t>) на базе ГБПОУ Кемеровской области "Кемеровский областной медицинский колледж" с участием специалистов, оказывающих паллиативную медицинскую помощь.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С 2016 года ГБПОУ Кемеровской области "Кемеровский областной медицинский колледж" проводит на базе отделения дополнительного образования </w:t>
      </w:r>
      <w:proofErr w:type="gramStart"/>
      <w:r>
        <w:t>обучение по программе</w:t>
      </w:r>
      <w:proofErr w:type="gramEnd"/>
      <w:r>
        <w:t xml:space="preserve"> "Вопросы паллиативной помощи в деятельности специалиста сестринского дела" в объеме 144 часа с выдачей удостоверений государственного образца.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В медицинских организациях Кемеровской области, оказывающих первичную медико-санитарную помощь, созданы и работают 37 школ для пациентов и их родственников по вопросам оказания помощи </w:t>
      </w:r>
      <w:proofErr w:type="spellStart"/>
      <w:r>
        <w:t>маломобильным</w:t>
      </w:r>
      <w:proofErr w:type="spellEnd"/>
      <w:r>
        <w:t xml:space="preserve"> и немобильным пациентам, принципам лечения хронического болевого синдрома, профилактике пролежней.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С 2013 года в ГКУЗ Кемеровской области "Кемеровский областной хоспис" работает школа "Жизнь без боли". С 2015 года работает телефон горячей линии 8(384-2) 61-09-05, который размещен на официальных сайтах </w:t>
      </w:r>
      <w:proofErr w:type="gramStart"/>
      <w:r>
        <w:t>департамента охраны здоровья населения Кемеровской области</w:t>
      </w:r>
      <w:proofErr w:type="gramEnd"/>
      <w:r>
        <w:t xml:space="preserve"> и ГКУЗ Кемеровской области "Кемеровский областной хоспис". Телефон горячей линии работает круглосуточно. В дневное время консультации проводят главный врач или заведующая отделением ГКУЗ Кемеровской области "Кемеровский областной хоспис", в ночное время - дежурный врач.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телефону горячей линии врачи и пациенты могут получить необходимые консультации: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обезболиванию и лечению болевого синдрома;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выбору наркотических средств и выбору дозы;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порядку выписки рецептов;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проблемам, возникающим при получении необходимых обезболивающих препаратов;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вопросам оказания паллиативной медицинской помощи;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по вопросам лекарственного обеспечения.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Всего за 2018 год на горячую линию поступило 363 обращения (2017 год - 489), в том числе консультативного и разъяснительного характера. По всем обращениям приняты необходимые меры. Информация об обращениях граждан направляется в департамент охраны здоровья населения Кемеровской области.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>2. Цель "дорожной карты"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 xml:space="preserve">Целью "дорожной карты" является создание к 2022 году в Кемеровской области системы </w:t>
      </w:r>
      <w:r>
        <w:lastRenderedPageBreak/>
        <w:t xml:space="preserve">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</w:t>
      </w:r>
      <w:proofErr w:type="spellStart"/>
      <w:r>
        <w:t>полустационарной</w:t>
      </w:r>
      <w:proofErr w:type="spellEnd"/>
      <w:r>
        <w:t xml:space="preserve"> и стационарной форме с привлечением патронажной службы и сиделок, а также поддержку семейного ухода.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>3. Задачи "дорожной карты"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>Задачами "дорожной карты" являются: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системная поддержка и повышение качества жизни граждан пожилого возраста и инвалидов в Кемеровской области при получении ими социальных услуг и медицинской помощи;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привлечение негосударственных организаций и добровольцев к предоставлению социальных и медицинских услуг в организациях социального обслуживания;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обеспечение дальнейшего развития и совершенствования </w:t>
      </w:r>
      <w:proofErr w:type="spellStart"/>
      <w:r>
        <w:t>гериатрической</w:t>
      </w:r>
      <w:proofErr w:type="spellEnd"/>
      <w:r>
        <w:t xml:space="preserve"> службы в Кемеровской области,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совершенствование порядка выявления граждан, нуждающихся (потенциально нуждающихся) в предоставлении социальных услуг;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актуализация критериев определения 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организация порядка межведомственного взаимодействия медицинских организаций и организаций социального обслуживания;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развитие и поддержка семейного ухода за гражданами пожилого возраста и инвалидами;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организация обучения и повышения квалификации специалистов медицинских организаций и специалистов организаций социального обслуживания.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>4. Ожидаемые результаты реализации "дорожной карты"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ind w:firstLine="540"/>
        <w:jc w:val="both"/>
      </w:pPr>
      <w:r>
        <w:t>4.1. Повышение профессионального уровня работников организаций социального обслуживания и медицинских организаций, работающих в системе долговременного ухода.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4.2. Обеспечение комплексности, доступности, эффективности медико-социальной помощи гражданам пожилого возраста, снижение смертности у граждан пожилого возраста на 16,3 - 19 процентов.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4.3. В </w:t>
      </w:r>
      <w:proofErr w:type="spellStart"/>
      <w:r>
        <w:t>пилотных</w:t>
      </w:r>
      <w:proofErr w:type="spellEnd"/>
      <w:r>
        <w:t xml:space="preserve"> муниципальных образованиях процент охвата лиц старше трудоспособного возраста, признанных нуждающимися в социальном обслуживании, системой долговременного ухода составит в 2019 году не менее 8 процентов, в 2020 году не менее 12 процентов, в 2021 году не менее 16 процентов.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4.4. Подготовлены программы дальнейшего развития системы долговременного ухода в Кемеровской области, в том числе в части выполнения мероприятий по профилактике и раннему выявлению нарушений когнитивных функций у граждан пожилого возраста, профилактике падений и переломов, по результатам данной работы в </w:t>
      </w:r>
      <w:proofErr w:type="spellStart"/>
      <w:r>
        <w:t>пилотных</w:t>
      </w:r>
      <w:proofErr w:type="spellEnd"/>
      <w:r>
        <w:t xml:space="preserve"> муниципальных образованиях.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lastRenderedPageBreak/>
        <w:t xml:space="preserve">4.5. Организовано межведомственное взаимодействие в рамках реализации </w:t>
      </w:r>
      <w:proofErr w:type="spellStart"/>
      <w:r>
        <w:t>пилотного</w:t>
      </w:r>
      <w:proofErr w:type="spellEnd"/>
      <w:r>
        <w:t xml:space="preserve"> проекта.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4.6. Совершенствование нормативной правовой базы, обеспечивающей создание системы долговременного ухода.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4.7. Привлечение дополнительного финансирования на развитие системы медико-социальной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медицинских, социальных и психологических услуг для граждан старших возрастных групп.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 xml:space="preserve">4.8. Привлечение негосударственных организаций социального обслуживания и социально ориентированных некоммерческих организаций на конкурсной основе (поддержка проектов - инновационных форм работы, технологий, моделей и методик, направленных на улучшение качества жизни граждан пожилого возраста и инвалидов, внедрение </w:t>
      </w:r>
      <w:proofErr w:type="spellStart"/>
      <w:r>
        <w:t>стационарозамещающих</w:t>
      </w:r>
      <w:proofErr w:type="spellEnd"/>
      <w:r>
        <w:t xml:space="preserve"> технологий).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4.9. Улучшение условий предоставления социальных услуг гражданам пожилого возраста и инвалидам.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4.10. Повышение уровня доступности социальных услуг для граждан, проживающих в сельской местности, охваченных услугами мобильных бригад.</w:t>
      </w:r>
    </w:p>
    <w:p w:rsidR="008043F9" w:rsidRDefault="008043F9">
      <w:pPr>
        <w:pStyle w:val="ConsPlusNormal"/>
        <w:spacing w:before="220"/>
        <w:ind w:firstLine="540"/>
        <w:jc w:val="both"/>
      </w:pPr>
      <w:r>
        <w:t>4.11. Развитие и поддержка семейного ухода за гражданами пожилого возраста и инвалидами.</w:t>
      </w: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>5. Контрольные показатели реализации "дорожной карты"</w:t>
      </w:r>
    </w:p>
    <w:p w:rsidR="008043F9" w:rsidRDefault="00804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52"/>
        <w:gridCol w:w="1247"/>
        <w:gridCol w:w="1020"/>
        <w:gridCol w:w="1020"/>
        <w:gridCol w:w="1077"/>
      </w:tblGrid>
      <w:tr w:rsidR="008043F9">
        <w:tc>
          <w:tcPr>
            <w:tcW w:w="426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7" w:type="dxa"/>
            <w:gridSpan w:val="3"/>
          </w:tcPr>
          <w:p w:rsidR="008043F9" w:rsidRDefault="008043F9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8043F9">
        <w:tc>
          <w:tcPr>
            <w:tcW w:w="426" w:type="dxa"/>
            <w:vMerge/>
          </w:tcPr>
          <w:p w:rsidR="008043F9" w:rsidRDefault="008043F9"/>
        </w:tc>
        <w:tc>
          <w:tcPr>
            <w:tcW w:w="4252" w:type="dxa"/>
            <w:vMerge/>
          </w:tcPr>
          <w:p w:rsidR="008043F9" w:rsidRDefault="008043F9"/>
        </w:tc>
        <w:tc>
          <w:tcPr>
            <w:tcW w:w="1247" w:type="dxa"/>
            <w:vMerge/>
          </w:tcPr>
          <w:p w:rsidR="008043F9" w:rsidRDefault="008043F9"/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2021 год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6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>Количество муниципальных образований Кемеровской области, на территории которых внедряется система долговременного ухода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16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>Удельный вес негосударственных организаций, оказывающих социальные услуги гражданам пожилого возраста и инвалидам, от общего количества организаций всех форм собственности, предоставляющих услуги в данной сфере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13,6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>Обеспеченность врачами-гериатрами (на 10 000 населения в возрасте старше трудоспособного)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0,42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 xml:space="preserve">Обеспеченность </w:t>
            </w:r>
            <w:proofErr w:type="spellStart"/>
            <w:r>
              <w:t>гериатрическими</w:t>
            </w:r>
            <w:proofErr w:type="spellEnd"/>
            <w:r>
              <w:t xml:space="preserve"> койками (на 10 000 населения старше 70 лет)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коек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4,9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 xml:space="preserve">Открытие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в медицинских организациях, оказывающих медицинскую помощь в амбулаторных условиях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29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proofErr w:type="gramStart"/>
            <w:r>
              <w:t>Доля лиц старше трудоспособного возраста, находящихся под диспансерным наблюдением, у которых выявлены заболевания и патологические состояния</w:t>
            </w:r>
            <w:proofErr w:type="gramEnd"/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64,7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>Количество действующих при организациях социального обслуживания "Школ ухода" по обучению граждан, осуществляющих неформальный уход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27</w:t>
            </w:r>
          </w:p>
        </w:tc>
      </w:tr>
      <w:tr w:rsidR="008043F9">
        <w:tc>
          <w:tcPr>
            <w:tcW w:w="426" w:type="dxa"/>
          </w:tcPr>
          <w:p w:rsidR="008043F9" w:rsidRDefault="008043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8043F9" w:rsidRDefault="008043F9">
            <w:pPr>
              <w:pStyle w:val="ConsPlusNormal"/>
            </w:pPr>
            <w:r>
              <w:t>Количество инвалидов с ментальными нарушениями, получающих общее образование</w:t>
            </w:r>
          </w:p>
        </w:tc>
        <w:tc>
          <w:tcPr>
            <w:tcW w:w="1247" w:type="dxa"/>
          </w:tcPr>
          <w:p w:rsidR="008043F9" w:rsidRDefault="008043F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043F9" w:rsidRDefault="008043F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043F9" w:rsidRDefault="008043F9">
            <w:pPr>
              <w:pStyle w:val="ConsPlusNormal"/>
              <w:jc w:val="center"/>
            </w:pPr>
            <w:r>
              <w:t>120</w:t>
            </w:r>
          </w:p>
        </w:tc>
      </w:tr>
    </w:tbl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 xml:space="preserve">6. </w:t>
      </w:r>
      <w:proofErr w:type="gramStart"/>
      <w:r>
        <w:t>Ответственные за реализацию "дорожной карты"</w:t>
      </w:r>
      <w:proofErr w:type="gramEnd"/>
    </w:p>
    <w:p w:rsidR="008043F9" w:rsidRDefault="00804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2381"/>
        <w:gridCol w:w="6009"/>
      </w:tblGrid>
      <w:tr w:rsidR="008043F9">
        <w:tc>
          <w:tcPr>
            <w:tcW w:w="517" w:type="dxa"/>
            <w:vAlign w:val="center"/>
          </w:tcPr>
          <w:p w:rsidR="008043F9" w:rsidRDefault="008043F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Align w:val="center"/>
          </w:tcPr>
          <w:p w:rsidR="008043F9" w:rsidRDefault="008043F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6009" w:type="dxa"/>
            <w:vAlign w:val="center"/>
          </w:tcPr>
          <w:p w:rsidR="008043F9" w:rsidRDefault="008043F9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043F9">
        <w:tc>
          <w:tcPr>
            <w:tcW w:w="517" w:type="dxa"/>
          </w:tcPr>
          <w:p w:rsidR="008043F9" w:rsidRDefault="008043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043F9" w:rsidRDefault="008043F9">
            <w:pPr>
              <w:pStyle w:val="ConsPlusNormal"/>
            </w:pPr>
            <w:r>
              <w:t>Воронина Е.А.</w:t>
            </w:r>
          </w:p>
        </w:tc>
        <w:tc>
          <w:tcPr>
            <w:tcW w:w="6009" w:type="dxa"/>
          </w:tcPr>
          <w:p w:rsidR="008043F9" w:rsidRDefault="008043F9">
            <w:pPr>
              <w:pStyle w:val="ConsPlusNormal"/>
            </w:pPr>
            <w:r>
              <w:t>Начальник департамента социальной защиты населения Кемеровской области</w:t>
            </w:r>
          </w:p>
        </w:tc>
      </w:tr>
      <w:tr w:rsidR="008043F9">
        <w:tc>
          <w:tcPr>
            <w:tcW w:w="517" w:type="dxa"/>
          </w:tcPr>
          <w:p w:rsidR="008043F9" w:rsidRDefault="00804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043F9" w:rsidRDefault="008043F9">
            <w:pPr>
              <w:pStyle w:val="ConsPlusNormal"/>
            </w:pPr>
            <w:r>
              <w:t>Малин М.В.</w:t>
            </w:r>
          </w:p>
        </w:tc>
        <w:tc>
          <w:tcPr>
            <w:tcW w:w="6009" w:type="dxa"/>
          </w:tcPr>
          <w:p w:rsidR="008043F9" w:rsidRDefault="008043F9">
            <w:pPr>
              <w:pStyle w:val="ConsPlusNormal"/>
            </w:pPr>
            <w:r>
              <w:t xml:space="preserve">Начальник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</w:tbl>
    <w:p w:rsidR="008043F9" w:rsidRDefault="008043F9">
      <w:pPr>
        <w:pStyle w:val="ConsPlusNormal"/>
        <w:jc w:val="both"/>
      </w:pPr>
    </w:p>
    <w:p w:rsidR="008043F9" w:rsidRDefault="008043F9">
      <w:pPr>
        <w:pStyle w:val="ConsPlusTitle"/>
        <w:jc w:val="center"/>
        <w:outlineLvl w:val="1"/>
      </w:pPr>
      <w:r>
        <w:t>7. План мероприятий</w:t>
      </w:r>
    </w:p>
    <w:p w:rsidR="008043F9" w:rsidRDefault="008043F9">
      <w:pPr>
        <w:pStyle w:val="ConsPlusNormal"/>
        <w:jc w:val="both"/>
      </w:pPr>
    </w:p>
    <w:p w:rsidR="008043F9" w:rsidRDefault="008043F9">
      <w:pPr>
        <w:sectPr w:rsidR="008043F9" w:rsidSect="00FE1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14"/>
        <w:gridCol w:w="1644"/>
        <w:gridCol w:w="1814"/>
        <w:gridCol w:w="1304"/>
        <w:gridCol w:w="1361"/>
        <w:gridCol w:w="1417"/>
        <w:gridCol w:w="1347"/>
        <w:gridCol w:w="1206"/>
      </w:tblGrid>
      <w:tr w:rsidR="008043F9">
        <w:tc>
          <w:tcPr>
            <w:tcW w:w="709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  <w:vMerge w:val="restart"/>
          </w:tcPr>
          <w:p w:rsidR="008043F9" w:rsidRDefault="008043F9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</w:tc>
        <w:tc>
          <w:tcPr>
            <w:tcW w:w="2665" w:type="dxa"/>
            <w:gridSpan w:val="2"/>
          </w:tcPr>
          <w:p w:rsidR="008043F9" w:rsidRDefault="008043F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70" w:type="dxa"/>
            <w:gridSpan w:val="3"/>
          </w:tcPr>
          <w:p w:rsidR="008043F9" w:rsidRDefault="008043F9">
            <w:pPr>
              <w:pStyle w:val="ConsPlusNormal"/>
              <w:jc w:val="center"/>
            </w:pPr>
            <w:r>
              <w:t>Финансирование и источники, тыс. руб.</w:t>
            </w:r>
          </w:p>
        </w:tc>
      </w:tr>
      <w:tr w:rsidR="008043F9">
        <w:tc>
          <w:tcPr>
            <w:tcW w:w="709" w:type="dxa"/>
            <w:vMerge/>
          </w:tcPr>
          <w:p w:rsidR="008043F9" w:rsidRDefault="008043F9"/>
        </w:tc>
        <w:tc>
          <w:tcPr>
            <w:tcW w:w="1814" w:type="dxa"/>
            <w:vMerge/>
          </w:tcPr>
          <w:p w:rsidR="008043F9" w:rsidRDefault="008043F9"/>
        </w:tc>
        <w:tc>
          <w:tcPr>
            <w:tcW w:w="1644" w:type="dxa"/>
            <w:vMerge/>
          </w:tcPr>
          <w:p w:rsidR="008043F9" w:rsidRDefault="008043F9"/>
        </w:tc>
        <w:tc>
          <w:tcPr>
            <w:tcW w:w="1814" w:type="dxa"/>
            <w:vMerge/>
          </w:tcPr>
          <w:p w:rsidR="008043F9" w:rsidRDefault="008043F9"/>
        </w:tc>
        <w:tc>
          <w:tcPr>
            <w:tcW w:w="1304" w:type="dxa"/>
          </w:tcPr>
          <w:p w:rsidR="008043F9" w:rsidRDefault="008043F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2021 год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9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t>1. Организационные мероприятия по созданию системы долговременного ухода за гражданами пожилого возраста и инвалидами в Кемеровской области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 xml:space="preserve">Создание межведомственной рабочей группы по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в Кемеровской области под руководством заместителя Губернатора Кемеровской области (по вопросам социального развития) с участием представителей исполнительных органов государственной власти Кемеровской </w:t>
            </w:r>
            <w:r>
              <w:lastRenderedPageBreak/>
              <w:t>области в сферах социальной защиты, здравоохранения, финансовой политики, экономики и иных сферах, представителей главного бюро медико-социальной экспертизы по Кемеровской области, Кузбасского регионального отделения Фонда социального страхования Российской Федерации, фонда "Старость в</w:t>
            </w:r>
            <w:proofErr w:type="gramEnd"/>
            <w:r>
              <w:t xml:space="preserve"> радость", фонда "Старшие" и иных организаций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Департамент социальной защиты населения Кемеровской области (далее - ДСЗН)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Распоряжение Коллегии Администрации Кемеровской области о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 по созданию системы долговременного ухода за гражданами пожилого возраста и инвалидами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в 2019 году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а также медицинских организаций и </w:t>
            </w:r>
            <w:r>
              <w:lastRenderedPageBreak/>
              <w:t xml:space="preserve">организаций социального обслуживания, расположенных на территории Кемеровской области и участвующих в </w:t>
            </w:r>
            <w:proofErr w:type="spellStart"/>
            <w:r>
              <w:t>пилотном</w:t>
            </w:r>
            <w:proofErr w:type="spellEnd"/>
            <w:r>
              <w:t xml:space="preserve"> проекте (далее соответственно - медицинские организации, организации социального обслуживания)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ДСЗН,</w:t>
            </w:r>
          </w:p>
          <w:p w:rsidR="008043F9" w:rsidRDefault="008043F9">
            <w:pPr>
              <w:pStyle w:val="ConsPlusNormal"/>
            </w:pPr>
            <w:r>
              <w:t xml:space="preserve">департамент охраны здоровья населения Кемеровской области (далее </w:t>
            </w:r>
            <w:r>
              <w:lastRenderedPageBreak/>
              <w:t>- ДОЗН)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lastRenderedPageBreak/>
              <w:t xml:space="preserve">Определены </w:t>
            </w:r>
            <w:proofErr w:type="spellStart"/>
            <w:r>
              <w:t>пилотные</w:t>
            </w:r>
            <w:proofErr w:type="spellEnd"/>
            <w:r>
              <w:t xml:space="preserve"> муниципальные образования, утвержден перечень медицинских </w:t>
            </w:r>
            <w:r>
              <w:lastRenderedPageBreak/>
              <w:t xml:space="preserve">организаций и организаций социального обслуживания, расположенных на территории Кемеровской области и участвующих в </w:t>
            </w:r>
            <w:proofErr w:type="spellStart"/>
            <w:r>
              <w:t>пилотном</w:t>
            </w:r>
            <w:proofErr w:type="spellEnd"/>
            <w:r>
              <w:t xml:space="preserve"> проекте: в 2019 году 3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образования, 7 организаций </w:t>
            </w:r>
            <w:proofErr w:type="spellStart"/>
            <w:proofErr w:type="gramStart"/>
            <w:r>
              <w:t>социаль-ного</w:t>
            </w:r>
            <w:proofErr w:type="spellEnd"/>
            <w:proofErr w:type="gramEnd"/>
            <w:r>
              <w:t xml:space="preserve"> обслуживания, 8 медицинских организаций;</w:t>
            </w:r>
          </w:p>
          <w:p w:rsidR="008043F9" w:rsidRDefault="008043F9">
            <w:pPr>
              <w:pStyle w:val="ConsPlusNormal"/>
            </w:pPr>
            <w:r>
              <w:t xml:space="preserve">в 2020 году 5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23 организации социального обслуживания, 18 медицинских организаций;</w:t>
            </w:r>
          </w:p>
          <w:p w:rsidR="008043F9" w:rsidRDefault="008043F9">
            <w:pPr>
              <w:pStyle w:val="ConsPlusNormal"/>
            </w:pPr>
            <w:r>
              <w:t xml:space="preserve">в 2021 году 16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образований, 38 организаций </w:t>
            </w:r>
            <w:r>
              <w:lastRenderedPageBreak/>
              <w:t>социального обслуживания, 31 медицинская организация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Январь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 xml:space="preserve">Оценка и приведение нормативной штатной численности стационарных организаций социального обслуживания в соответствие с рекомендуемыми нормативами штатной численности организаций социального обслуживания, предоставляющих социальные услуги в стационарной форме социального обслуживания, согласно </w:t>
            </w:r>
            <w:hyperlink r:id="rId15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Правилам организации деятельности </w:t>
            </w:r>
            <w:r>
              <w:lastRenderedPageBreak/>
              <w:t>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24.11.2014 N 940н, в части количества персонала по</w:t>
            </w:r>
            <w:proofErr w:type="gramEnd"/>
            <w:r>
              <w:t xml:space="preserve"> уходу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Штатные расписания стационарных организаций социального обслуживания соответствуют требованиям по количеству персонала, задействованного в процессе ухода, рассчитанному в соответствии с рекомендуемыми нормативами штатной численности организаций социального обслуживания, предоставляющих социальные услуги в стационарной форме социального обслуживания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Май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Совершенствование нормативной правовой базы, обеспечивающей создание системы долговременного ухода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Приняты и доработаны нормативные правовые акты Кемеровской области, обеспечивающие создание системы долговременного ухода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Совершенствование порядка выявления </w:t>
            </w:r>
            <w:r>
              <w:lastRenderedPageBreak/>
              <w:t>граждан, нуждающихся (потенциально нуждающихся) в предоставлении социальных услуг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Приказ ДСЗН и ДОЗН об утверждении </w:t>
            </w:r>
            <w:r>
              <w:lastRenderedPageBreak/>
              <w:t>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заболевания;</w:t>
            </w:r>
          </w:p>
          <w:p w:rsidR="008043F9" w:rsidRDefault="008043F9">
            <w:pPr>
              <w:pStyle w:val="ConsPlusNormal"/>
            </w:pPr>
            <w:r>
              <w:t xml:space="preserve">в медицинских организациях определены должностные лица, ответственные за сбор данных о гражданах, нуждающихся </w:t>
            </w:r>
            <w:r>
              <w:lastRenderedPageBreak/>
              <w:t>(потенциально нуждающихся) в предоставлении социальных услуг, и передачу информации об указанных гражданах в организации социального обслуживания;</w:t>
            </w:r>
          </w:p>
          <w:p w:rsidR="008043F9" w:rsidRDefault="008043F9">
            <w:pPr>
              <w:pStyle w:val="ConsPlusNormal"/>
            </w:pPr>
            <w:r>
              <w:t>разработаны перечень информации, передаваемой медицинскими организациями в организации социального обслуживания, формы документов, содержащих передаваемую информацию, способы передачи указанных документов;</w:t>
            </w:r>
          </w:p>
          <w:p w:rsidR="008043F9" w:rsidRDefault="008043F9">
            <w:pPr>
              <w:pStyle w:val="ConsPlusNormal"/>
            </w:pPr>
            <w:r>
              <w:t xml:space="preserve">разработаны и утверждены критерии определения </w:t>
            </w:r>
            <w:r>
              <w:lastRenderedPageBreak/>
              <w:t>граждан, нуждающихся (потенциально нуждающихся) в предоставлении 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Оценка участия негосударственных организаций и добровольцев в предоставлении социальных услуг гражданам пожилого возраста и </w:t>
            </w:r>
            <w:r>
              <w:lastRenderedPageBreak/>
              <w:t>инвалидам в рамках системы долговременного ухода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Подготовлен план мероприятий ("дорожная карта") по привлечению негосударственных организаций и добровольцев к </w:t>
            </w:r>
            <w:r>
              <w:lastRenderedPageBreak/>
              <w:t>работе в целях предоставления социальных услуг гражданам пожилого возраста и инвалидам.</w:t>
            </w:r>
          </w:p>
          <w:p w:rsidR="008043F9" w:rsidRDefault="008043F9">
            <w:pPr>
              <w:pStyle w:val="ConsPlusNormal"/>
            </w:pPr>
            <w:r>
              <w:t>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собственности:</w:t>
            </w:r>
          </w:p>
          <w:p w:rsidR="008043F9" w:rsidRDefault="008043F9">
            <w:pPr>
              <w:pStyle w:val="ConsPlusNormal"/>
            </w:pPr>
            <w:r>
              <w:t>в 2019 году - не менее 11,2%;</w:t>
            </w:r>
          </w:p>
          <w:p w:rsidR="008043F9" w:rsidRDefault="008043F9">
            <w:pPr>
              <w:pStyle w:val="ConsPlusNormal"/>
            </w:pPr>
            <w:r>
              <w:t>в 2020 году - не менее 12,4%;</w:t>
            </w:r>
          </w:p>
          <w:p w:rsidR="008043F9" w:rsidRDefault="008043F9">
            <w:pPr>
              <w:pStyle w:val="ConsPlusNormal"/>
            </w:pPr>
            <w:r>
              <w:t>в 2021 году - не менее 13,6%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Ноябрь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Утверждение критериев определения граждан, нуждающихся (потенциально нуждающихся) в предоставлении </w:t>
            </w:r>
            <w:r>
              <w:lastRenderedPageBreak/>
              <w:t>социальных услуг, для использования в медицинских организациях в целях выявления граждан, нуждающихся (потенциально нуждающихся) в предоставлении социальных услуг, и передачи информации об указанных гражданах в организации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Приказ ДОЗН об утверждении критериев определения получателей социальных услуг в стационарных и амбулаторных </w:t>
            </w:r>
            <w:r>
              <w:lastRenderedPageBreak/>
              <w:t>организациях Кемеровской области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lastRenderedPageBreak/>
              <w:t>2. Проведение типизации граждан, получающих социальные услуги, а также граждан, нуждающихся (потенциально нуждающихся) в предоставлении социальных услуг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Разработка порядка проведения типизации при составлении индивидуальной программы предоставления социальных услуг, предусмотренно</w:t>
            </w:r>
            <w:r>
              <w:lastRenderedPageBreak/>
              <w:t xml:space="preserve">й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Приказ ДСЗН об утверждении порядка проведения типизации при составлении индивидуальной программы предоставления социальных услуг, </w:t>
            </w:r>
            <w:r>
              <w:lastRenderedPageBreak/>
              <w:t xml:space="preserve">предусмотренной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Проведение типизации граждан, получающих социальные услуги, а также граждан, информация о нуждаемости (потенциальной нуждаемости)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</w:t>
            </w:r>
            <w:r>
              <w:lastRenderedPageBreak/>
              <w:t>взаимодействия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Типизированы все граждане, проживающие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получающие социальные услуги, а также граждане, проживающие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образованиях, информация о нуждаемости (потенциальной нуждаемости) в предоставлении социальных услуг которых получена организациями </w:t>
            </w:r>
            <w:r>
              <w:lastRenderedPageBreak/>
              <w:t>социального обслуживания от медицинских организаций посредством межведомственного взаимодействия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Июнь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уходу, полученных от медицинских организаций, для граждан, в отношении которых проведена процедура типизации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Скорректированы или разработаны индивидуальные программы предоставления социальных услуг и составлен индивидуальный план ухода для 100% типизированных граждан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Июнь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t xml:space="preserve">3. Совершенствование предоставления социальных услуг на дому 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обслуживания. Развитие и поддержка семейного ухода за гражданами пожилого возраста и инвалидами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Организация деятельности центров дневного пребывания граждан с сервисом транспортной доставки получателей социальных услуг со специализацией работы для граждан с когнитивными нарушениями, ограничениями мобильности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Граждане, которым в индивидуальной программе предоставления социальных услуг рекомендовано посещение центра </w:t>
            </w:r>
            <w:proofErr w:type="gramStart"/>
            <w:r>
              <w:t>дневного</w:t>
            </w:r>
            <w:proofErr w:type="gramEnd"/>
            <w:r>
              <w:t xml:space="preserve"> пребывания, получили услуги центра дневного пребывания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Дооснащение центров дневного пребывания оборудованием, мебелью и расходными материалами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>Дооснащены</w:t>
            </w:r>
            <w:proofErr w:type="gramEnd"/>
            <w:r>
              <w:t xml:space="preserve"> оборудованием, мебелью и расходными материалами:</w:t>
            </w:r>
          </w:p>
          <w:p w:rsidR="008043F9" w:rsidRDefault="008043F9">
            <w:pPr>
              <w:pStyle w:val="ConsPlusNormal"/>
            </w:pPr>
            <w:r>
              <w:t>в 2019 году 2 центра дневного пребывания;</w:t>
            </w:r>
          </w:p>
          <w:p w:rsidR="008043F9" w:rsidRDefault="008043F9">
            <w:pPr>
              <w:pStyle w:val="ConsPlusNormal"/>
            </w:pPr>
            <w:r>
              <w:t xml:space="preserve">в 2020 году 11 центров дневного </w:t>
            </w:r>
            <w:r>
              <w:lastRenderedPageBreak/>
              <w:t>пребывания;</w:t>
            </w:r>
          </w:p>
          <w:p w:rsidR="008043F9" w:rsidRDefault="008043F9">
            <w:pPr>
              <w:pStyle w:val="ConsPlusNormal"/>
            </w:pPr>
            <w:r>
              <w:t>в 2021 году 6 центров дневного пребывания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50 тыс. руб. - внебюджетные средства (далее - ВБ)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50 тыс. руб. - ВБ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Приобретение автотранспорта для доставки получателей социальных услуг с когнитивными нарушениями, ограничениями мобильности в центры дневного пребывания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Приобретено 2 </w:t>
            </w:r>
            <w:proofErr w:type="gramStart"/>
            <w:r>
              <w:t>специализированных</w:t>
            </w:r>
            <w:proofErr w:type="gramEnd"/>
            <w:r>
              <w:t xml:space="preserve"> автобуса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4 600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4 522,8 тыс. руб. - федеральный бюджет (далее - ФБ),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7,2 тыс. руб. - областной бюджет (далее - 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Запуск школ ухода с тремя форматами работы (групповые и индивидуальные занятия, а также выход работников школы ухода на дом к </w:t>
            </w:r>
            <w:proofErr w:type="gramStart"/>
            <w:r>
              <w:t>проживающему</w:t>
            </w:r>
            <w:proofErr w:type="gramEnd"/>
            <w:r>
              <w:t xml:space="preserve">) для обучения </w:t>
            </w:r>
            <w:r>
              <w:lastRenderedPageBreak/>
              <w:t xml:space="preserve">граждан, осуществляющих неформальный уход,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Граждане, осуществляющие неформальный уход, получили консультации по осуществлению неформального ухода в каждом формате работы (групповые и индивидуальные занятия, а также выход </w:t>
            </w:r>
            <w:r>
              <w:lastRenderedPageBreak/>
              <w:t xml:space="preserve">работников школы ухода на дом </w:t>
            </w:r>
            <w:proofErr w:type="gramStart"/>
            <w:r>
              <w:t>к</w:t>
            </w:r>
            <w:proofErr w:type="gramEnd"/>
            <w:r>
              <w:t xml:space="preserve"> проживающему),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</w:pP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Оснащение школ ухода оборудованием, мебелью и расходными материалами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>Оснащены</w:t>
            </w:r>
            <w:proofErr w:type="gramEnd"/>
            <w:r>
              <w:t xml:space="preserve"> оборудованием, мебелью и расходными материалами:</w:t>
            </w:r>
          </w:p>
          <w:p w:rsidR="008043F9" w:rsidRDefault="008043F9">
            <w:pPr>
              <w:pStyle w:val="ConsPlusNormal"/>
            </w:pPr>
            <w:r>
              <w:t>в 2019 году 2 школы ухода;</w:t>
            </w:r>
          </w:p>
          <w:p w:rsidR="008043F9" w:rsidRDefault="008043F9">
            <w:pPr>
              <w:pStyle w:val="ConsPlusNormal"/>
            </w:pPr>
            <w:r>
              <w:t>в 2020 году 14 школ ухода;</w:t>
            </w:r>
          </w:p>
          <w:p w:rsidR="008043F9" w:rsidRDefault="008043F9">
            <w:pPr>
              <w:pStyle w:val="ConsPlusNormal"/>
            </w:pPr>
            <w:r>
              <w:t>в 2021 году 11 школ ухода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1 235,9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1 215,2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20,7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Организация работы пунктов проката ТСР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Граждане получили в прокат ТСР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</w:pP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Дооснащение пунктов проката ТСР оборудованием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>Дооснащены</w:t>
            </w:r>
            <w:proofErr w:type="gramEnd"/>
            <w:r>
              <w:t xml:space="preserve"> оборудованием:</w:t>
            </w:r>
          </w:p>
          <w:p w:rsidR="008043F9" w:rsidRDefault="008043F9">
            <w:pPr>
              <w:pStyle w:val="ConsPlusNormal"/>
            </w:pPr>
            <w:r>
              <w:t>в 2019 году 2 пункта проката ТСР;</w:t>
            </w:r>
          </w:p>
          <w:p w:rsidR="008043F9" w:rsidRDefault="008043F9">
            <w:pPr>
              <w:pStyle w:val="ConsPlusNormal"/>
            </w:pPr>
            <w:r>
              <w:t xml:space="preserve">в 2020 году 14 пунктов проката </w:t>
            </w:r>
            <w:r>
              <w:lastRenderedPageBreak/>
              <w:t>ТСР;</w:t>
            </w:r>
          </w:p>
          <w:p w:rsidR="008043F9" w:rsidRDefault="008043F9">
            <w:pPr>
              <w:pStyle w:val="ConsPlusNormal"/>
            </w:pPr>
            <w:r>
              <w:t>в 2021 году 11 пунктов проката ТСР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3 275,4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3 220,5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54,9 тыс. руб. </w:t>
            </w:r>
            <w:r>
              <w:lastRenderedPageBreak/>
              <w:t xml:space="preserve">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 xml:space="preserve">54,9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54,9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Запуск услуги по временному размещению получателей социальных услуг на дому в стационарных организациях социального обслуживания с целью организации "отпуска от ухода" для ухаживающих родственников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Получатели социальных услуг на дому получили услуги по временному размещению в стационарных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 xml:space="preserve">Организация предоставления социальных услуг на дому получателям социальных услуг в объеме и с кратностью согласно разработанным индивидуальной программе </w:t>
            </w:r>
            <w:r>
              <w:lastRenderedPageBreak/>
              <w:t>предоставления социальных услуг и индивидуальному плану ухода по результатам проведенной типизации (до 28 часов в неделю и до 7 дней в неделю на одного получателя социальных услуг с максимально высокой степенью зависимости из наиболее тяжелой функциональной группы)</w:t>
            </w:r>
            <w:proofErr w:type="gramEnd"/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Социальные услуги на дому предоставлены 100% граждан, которым разработаны индивидуальные программы предоставления социальных услуг и индивидуальные </w:t>
            </w:r>
            <w:r>
              <w:lastRenderedPageBreak/>
              <w:t>планы ухода, в полном объеме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</w:pP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Создание служб помощников по уходу (сиделок) на дому получателям социальных услуг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Службы сиделок созданы во всех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Июль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8 256,0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8 117,5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138,5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215,7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215,7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стационарозаме</w:t>
            </w:r>
            <w:r>
              <w:lastRenderedPageBreak/>
              <w:t>щающих</w:t>
            </w:r>
            <w:proofErr w:type="spellEnd"/>
            <w:r>
              <w:t xml:space="preserve"> технологий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Повышение качества жизни </w:t>
            </w:r>
            <w:r>
              <w:lastRenderedPageBreak/>
              <w:t>граждан пожилого возраста и инвалидов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Определение в организациях социального обслуживания лиц, ответственных за организацию ухода за получателями социальных услуг на дому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В организациях социального обслуживания определены лица, ответственные за организацию ухода за получателями социальных услуг на дому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Организация осуществления медицинскими работниками амбулаторно-поликлинических подразделений медицинских организаций регулярного посещения получателей социальных услуг на дому, не имеющих возможности регулярного </w:t>
            </w:r>
            <w:r>
              <w:lastRenderedPageBreak/>
              <w:t>посещения медицинских организаций (далее - медицинский патронаж)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Медицинский патронаж осуществляется в полном объеме для получателей социальных услуг на дому, не имеющих возможности регулярного посещения медицинских организаций, по итогам первичного обследования медицинскими </w:t>
            </w:r>
            <w:r>
              <w:lastRenderedPageBreak/>
              <w:t xml:space="preserve">работниками всех получателей социальных услуг на дому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Разработка и реализация плана по обеспечению наличия в Кемеровской области достаточного количества объектов </w:t>
            </w:r>
            <w:proofErr w:type="spellStart"/>
            <w:r>
              <w:t>гериатрической</w:t>
            </w:r>
            <w:proofErr w:type="spellEnd"/>
            <w:r>
              <w:t xml:space="preserve"> медицинской помощи, в том числе амбулаторной, для медицинского обслуживания нуждающихся граждан, проживающих на дому и в стационарных организациях социального обслуживания, в </w:t>
            </w:r>
            <w:r>
              <w:lastRenderedPageBreak/>
              <w:t>том числе мобильных бригад для осуществления социального обслуживания на дому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Открытие дополнительно 22 кабинетов </w:t>
            </w:r>
            <w:proofErr w:type="spellStart"/>
            <w:r>
              <w:t>гериатрического</w:t>
            </w:r>
            <w:proofErr w:type="spellEnd"/>
            <w:r>
              <w:t xml:space="preserve"> приема в соответствии с расчетным нормативом 1 кабинет на 20000 населения старше 60 лет, дополнительное открытие не менее 56 </w:t>
            </w:r>
            <w:proofErr w:type="spellStart"/>
            <w:r>
              <w:t>гериатрических</w:t>
            </w:r>
            <w:proofErr w:type="spellEnd"/>
            <w:r>
              <w:t xml:space="preserve"> коек в соответствии с расчетным нормативом 1 койка на 2000 населения в возрасте 70 лет и старше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Разработка и реализация плана по обеспечению наличия в Кемеровской области достаточного количества объемов медицинской реабилитации первого, второго и третьего этапов для оказания медицинской реабилитационной помощи в медицинских организациях нуждающимся гражданам, проживающим на дому и в стационарных организациях </w:t>
            </w:r>
            <w:r>
              <w:lastRenderedPageBreak/>
              <w:t>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Выполнение норматива объема медицинской помощи по профилю "Медицинская реабилитация"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 xml:space="preserve">Разработка и реализация плана по обеспечению наличия в Кемеровской области достаточного количества обученных специалистов (врачей, среднего медицинского персонала) для оказания паллиативной медицинской помощи нуждающимся гражданам, проживающим на дому и в стационарных организациях социального обслуживания, в том числе мобильных бригад для оказания паллиативной </w:t>
            </w:r>
            <w:r>
              <w:lastRenderedPageBreak/>
              <w:t>помощи нуждающимся гражданам, проживающим на дому и в стационарных организациях социального обслуживания</w:t>
            </w:r>
            <w:proofErr w:type="gramEnd"/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Соответствие объемов оказания паллиативной медицинской помощи федеральным нормативам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3.12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Организация работы волонтеров с гражданами, получающими социальные услуги на дому,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Центрами социального обслуживания населения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 заключены соглашения с волонтерскими организациями по работе с гражданами, получающими социальные услуги на дому,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t>4. Совершенствование предоставления социальных услуг в стационарных организациях социального обслуживания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Определение в стационарных </w:t>
            </w:r>
            <w:r>
              <w:lastRenderedPageBreak/>
              <w:t>организациях социального обслуживания лиц, ответственных за организацию ухода за получателями социальных услуг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В стационарных организациях </w:t>
            </w:r>
            <w:r>
              <w:lastRenderedPageBreak/>
              <w:t>социального обслуживания определены лица, ответственные за организацию ухода за получателями социальных услуг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Создание служб помощников по уходу (сиделок) в стационарных организациях социального обслуживания получателям социальных услуг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Службы сиделок созданы во всех стационарных организациях социального обслуживания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10 699,9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10 520,4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179,5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Дооснащение стационарных организаций социального обслуживания оборудованием, ТСР, расходными, гигиеническими средствами и инвентарем для организации досуга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>Дооснащены оборудованием, ТСР, расходными, гигиеническими средствами и инвентарем для организации досуга:</w:t>
            </w:r>
            <w:proofErr w:type="gramEnd"/>
          </w:p>
          <w:p w:rsidR="008043F9" w:rsidRDefault="008043F9">
            <w:pPr>
              <w:pStyle w:val="ConsPlusNormal"/>
            </w:pPr>
            <w:r>
              <w:t>в 2019 году 4 стационарные организации социального обслуживания;</w:t>
            </w:r>
          </w:p>
          <w:p w:rsidR="008043F9" w:rsidRDefault="008043F9">
            <w:pPr>
              <w:pStyle w:val="ConsPlusNormal"/>
            </w:pPr>
            <w:r>
              <w:t xml:space="preserve">в 2020 году 3 </w:t>
            </w:r>
            <w:r>
              <w:lastRenderedPageBreak/>
              <w:t>стационарные организации социального обслуживания;</w:t>
            </w:r>
          </w:p>
          <w:p w:rsidR="008043F9" w:rsidRDefault="008043F9">
            <w:pPr>
              <w:pStyle w:val="ConsPlusNormal"/>
            </w:pPr>
            <w:r>
              <w:t>в 2021 году 4 стационарные организации социального обслуживания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19 459,2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19 132,6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326,6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Разработка и внедрение в практическую деятельность стационарных организаций социального обслуживания новых форм документации по уходу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Обеспечены системность, преемственность и учет индивидуальных физиологических и психологических особенностей граждан, получающих социальные услуги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Обеспечение наличия открытых простран</w:t>
            </w:r>
            <w:proofErr w:type="gramStart"/>
            <w:r>
              <w:t>ств дл</w:t>
            </w:r>
            <w:proofErr w:type="gramEnd"/>
            <w:r>
              <w:t xml:space="preserve">я возможности организации </w:t>
            </w:r>
            <w:r>
              <w:lastRenderedPageBreak/>
              <w:t>групповых занятий и зон для приема пищи для проживающих в отделениях милосердия стационарных организаций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Организованы открытые пространства в отделениях милосердия стационарных </w:t>
            </w:r>
            <w:r>
              <w:lastRenderedPageBreak/>
              <w:t>организаций социального обслуживания для организации групповых занятий и зон для приема пищи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Июль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Обучение получателей социальных услуг с ментальными нарушениями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департамент образования и науки Кемеровской области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Организовано получение общего образования получателями социальных услуг с ментальными нарушениями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Сентябрь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Обеспечение дневной занятости получателей социальных услуг с ментальными нарушениями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 xml:space="preserve">ДСЗН, департамент культуры и национальной политики Кемеровской области, главы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образований (по согласованию)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Организованы мастерские, организован досуг получателей социальных услуг с ментальными нарушениями за пределами организации социального обслуживания (экскурсии, походы, </w:t>
            </w:r>
            <w:r>
              <w:lastRenderedPageBreak/>
              <w:t>посещение физкультурно-оздоровительных центров, домов творчества, домов культуры)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2020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Организация учебного (тренировочного) социального сопровождения малых групп инвалидов (из числа получателей социальных услуг) с ментальными нарушениями в 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Внедрена 3-уровневая программа обучения самостоятельному проживанию получателей социальных услуг с ментальными нарушениями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Сентябрь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Организация регулярного посещения медицинскими работниками медицинских организаций граждан, проживающих в </w:t>
            </w:r>
            <w:r>
              <w:lastRenderedPageBreak/>
              <w:t>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Проводятся регулярные осмотры граждан, проживающих в стационарных организациях социального обслуживания, </w:t>
            </w:r>
            <w:r>
              <w:lastRenderedPageBreak/>
              <w:t>медицинскими работниками медицинских организаций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Проведение медицинских осмотров с обязательной выдачей медицинских рекомендаций гражданам, проживающим в стационарных организациях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Проводятся профилактические осмотры и диспансеризация 100% граждан, проживающих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Организация работы волонтеров с гражданами, получающими социальные услуги в стационарных организациях социального обслуживания,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Стационарными организациями социального обслуживания заключены соглашения с волонтерскими организациями по работе с гражданами, получающими социальные услуги в стационарных организациях </w:t>
            </w:r>
            <w:r>
              <w:lastRenderedPageBreak/>
              <w:t xml:space="preserve">социального обслуживания, в рамках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lastRenderedPageBreak/>
              <w:t>5. Обучение персонала в рамках СДУ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Проведение обучающего семинара для руководителей ДСЗН и ДОЗН, органов социальной защиты населения Кемеровской области, руководителей медицинских организаций и организаций социального обслуживания, вовлеченных в реализацию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Проведен обучающий семинар о целях, задачах и способах их достижения, необходимых изменениях в текущей работе при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Февраль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Обучение специалистов организаций социального </w:t>
            </w:r>
            <w:r>
              <w:lastRenderedPageBreak/>
              <w:t>обслуживания процессам осуществления типизации граждан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Обучены специалисты </w:t>
            </w:r>
            <w:proofErr w:type="spellStart"/>
            <w:r>
              <w:t>пилотных</w:t>
            </w:r>
            <w:proofErr w:type="spellEnd"/>
            <w:r>
              <w:t xml:space="preserve"> организаций </w:t>
            </w:r>
            <w:r>
              <w:lastRenderedPageBreak/>
              <w:t>социального обслуживания, способные самостоятельно осуществлять процедуру типизации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Апрель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Обучение руководителей организаций социального обслуживания, включая обеспечение их информацией о международных практиках осуществления деятельности организаций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Проведено обучение 100% руководителей организаций социального обслуживания по следующим направлениям:</w:t>
            </w:r>
          </w:p>
          <w:p w:rsidR="008043F9" w:rsidRDefault="008043F9">
            <w:pPr>
              <w:pStyle w:val="ConsPlusNormal"/>
            </w:pPr>
            <w:r>
              <w:t>СДУ, технологии межведомственного взаимодействия в СДУ, осуществление ухода и междисциплинарного взаимодействия в стационарных организациях социального обслуживания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Отбор и обучение не менее 5 наиболее </w:t>
            </w:r>
            <w:r>
              <w:lastRenderedPageBreak/>
              <w:t>опытных специалистов из числа персонала организаций социального обслуживания на позиции тренеров по осуществлению ухода в рамках СДУ (далее - тренер)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 xml:space="preserve">Не менее 5 специалистов организаций </w:t>
            </w:r>
            <w:r>
              <w:lastRenderedPageBreak/>
              <w:t>социального обслуживания отобраны и обучены на позиции тренеров</w:t>
            </w:r>
            <w:proofErr w:type="gramEnd"/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Март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Проведение обучения 100% штатного персонала организаций социального обслуживания и 100% персонала центров дневного пребывания, школ родственного ухода и пунктов проката ТСР силами обученных тренеров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Проведено обучение в необходимом объеме 100% штатного персонала организаций социального обслуживания и 100% персонала центров дневного пребывания, школ родственного ухода и пунктов проката ТСР силами подготовленных тренеров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Обучение (повышение квалификации) специалистов организаций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Повышение квалификации (профессионального уровня) специалистов организаций социального обслуживания (не менее 250 человек в год)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1 401,3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1 378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23,3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Обеспечение достаточного количества квалифицированных медицинских работников медицинских организаций, осуществляющих медицинский патронаж в соответствии с индивидуальной программой медицинского патронажа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Обеспечен медицинский патронаж в соответствии с индивидуальной программой медицинского патронажа медицинскими работниками амбулаторно-поликлинических подразделений медицинских организаций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Обеспечение достаточного количества врачей-гериатров и медицинских сестер </w:t>
            </w:r>
            <w:proofErr w:type="spellStart"/>
            <w:r>
              <w:lastRenderedPageBreak/>
              <w:t>гериатрического</w:t>
            </w:r>
            <w:proofErr w:type="spellEnd"/>
            <w:r>
              <w:t xml:space="preserve"> профиля в поликлиниках для оказания медицинской помощи по профилю "гериатрия" в соответствии с порядком оказания медицинской помощи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Открытие </w:t>
            </w:r>
            <w:proofErr w:type="spellStart"/>
            <w:r>
              <w:t>гериатрического</w:t>
            </w:r>
            <w:proofErr w:type="spellEnd"/>
            <w:r>
              <w:t xml:space="preserve"> приема на базе ГАУЗ Кемеровской области </w:t>
            </w:r>
            <w:r>
              <w:lastRenderedPageBreak/>
              <w:t xml:space="preserve">"Анжеро-Судженская городская больница" и 2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на базе ГБУЗ Кемеровской области "</w:t>
            </w:r>
            <w:proofErr w:type="spellStart"/>
            <w:r>
              <w:t>Прокопьевская</w:t>
            </w:r>
            <w:proofErr w:type="spellEnd"/>
            <w:r>
              <w:t xml:space="preserve"> городская поликлиника".</w:t>
            </w:r>
          </w:p>
          <w:p w:rsidR="008043F9" w:rsidRDefault="008043F9">
            <w:pPr>
              <w:pStyle w:val="ConsPlusNormal"/>
            </w:pPr>
            <w:r>
              <w:t xml:space="preserve">Открытие 5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в государственных медицинских организациях </w:t>
            </w:r>
            <w:proofErr w:type="gramStart"/>
            <w:r>
              <w:t>г</w:t>
            </w:r>
            <w:proofErr w:type="gramEnd"/>
            <w:r>
              <w:t xml:space="preserve">. Новокузнецка и 2 </w:t>
            </w:r>
            <w:proofErr w:type="spellStart"/>
            <w:r>
              <w:t>гериатрических</w:t>
            </w:r>
            <w:proofErr w:type="spellEnd"/>
            <w:r>
              <w:t xml:space="preserve"> приемов на базе ГБУЗ Кемеровской области "</w:t>
            </w:r>
            <w:proofErr w:type="spellStart"/>
            <w:r>
              <w:t>Юргинская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2020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Определение дефицита соответствующих специалистов и руководителей различных </w:t>
            </w:r>
            <w:r>
              <w:lastRenderedPageBreak/>
              <w:t>направлений социального обслуживания и здравоохранения в рамках СДУ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Сформирован и реализуется план </w:t>
            </w:r>
            <w:proofErr w:type="gramStart"/>
            <w:r>
              <w:t xml:space="preserve">привлечения необходимого количества специалистов </w:t>
            </w:r>
            <w:r>
              <w:lastRenderedPageBreak/>
              <w:t>организаций социального обслуживания</w:t>
            </w:r>
            <w:proofErr w:type="gramEnd"/>
            <w:r>
              <w:t xml:space="preserve"> и медицинских организаций и (или) их обучения (</w:t>
            </w:r>
            <w:proofErr w:type="spellStart"/>
            <w:r>
              <w:t>дообучения</w:t>
            </w:r>
            <w:proofErr w:type="spellEnd"/>
            <w:r>
              <w:t xml:space="preserve">, повышения квалификации) для наличия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требуемого количества персонала согласно действующим требованиями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5.10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Разработка плана обучения в случае выявленных дефицитов компетенций специалистов и руководителей различных направлений социального обслуживания и здравоохранения в рамках СДУ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В медицинских организациях и организациях социального обслуживания сформирован и реализуется план обучения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Май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lastRenderedPageBreak/>
              <w:t xml:space="preserve">6. Межведомственное взаимодействие в рамках реализации </w:t>
            </w:r>
            <w:proofErr w:type="spellStart"/>
            <w:r>
              <w:t>пилотного</w:t>
            </w:r>
            <w:proofErr w:type="spellEnd"/>
            <w:r>
              <w:t xml:space="preserve"> проекта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Создание центра, обеспечивающего функцию координации в рамках СДУ, включая функции ведения базы данных о лицах, вовлеченных в СДУ и организацию межведомственного взаимодействия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Создан координационный центр в рамках СДУ, утверждено штатное расписание координационного центра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Февраль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Всего</w:t>
            </w:r>
          </w:p>
          <w:p w:rsidR="008043F9" w:rsidRDefault="008043F9">
            <w:pPr>
              <w:pStyle w:val="ConsPlusNormal"/>
              <w:jc w:val="center"/>
            </w:pPr>
            <w:r>
              <w:t>507,5 тыс. руб., в том числе:</w:t>
            </w:r>
          </w:p>
          <w:p w:rsidR="008043F9" w:rsidRDefault="008043F9">
            <w:pPr>
              <w:pStyle w:val="ConsPlusNormal"/>
              <w:jc w:val="center"/>
            </w:pPr>
            <w:r>
              <w:t>499 тыс. руб. - ФБ,</w:t>
            </w:r>
          </w:p>
          <w:p w:rsidR="008043F9" w:rsidRDefault="008043F9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 xml:space="preserve">8,5 тыс. руб. - </w:t>
            </w:r>
            <w:proofErr w:type="gramStart"/>
            <w:r>
              <w:t>ОБ</w:t>
            </w:r>
            <w:proofErr w:type="gramEnd"/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proofErr w:type="gramStart"/>
            <w:r>
              <w:t xml:space="preserve">Разработка предложений по получению организациями социального обслуживания информации о выписке гражданина, нуждающегося (потенциально нуждающегося) в предоставлении социальных услуг, выявленного посредством </w:t>
            </w:r>
            <w:r>
              <w:lastRenderedPageBreak/>
              <w:t>использования критериев определения граждан, нуждающихся (потенциально нуждающихся) в предоставлении социальных услуг, из медицинских организаций, оказывающих медицинскую помощь в стационарных условиях, информации о посещении указанным гражданином поликлиники (или медицинским персоналом, выходящим на дом к нуждающемуся), в том числе:</w:t>
            </w:r>
            <w:proofErr w:type="gramEnd"/>
          </w:p>
          <w:p w:rsidR="008043F9" w:rsidRDefault="008043F9">
            <w:pPr>
              <w:pStyle w:val="ConsPlusNormal"/>
            </w:pPr>
            <w:r>
              <w:t xml:space="preserve">определение перечня информации и формы ее </w:t>
            </w:r>
            <w:r>
              <w:lastRenderedPageBreak/>
              <w:t xml:space="preserve">передачи между организациями социального обслуживания и медицинскими организациями в целях формирования оптимальной программы работы с </w:t>
            </w:r>
            <w:proofErr w:type="gramStart"/>
            <w:r>
              <w:t>нуждающимся</w:t>
            </w:r>
            <w:proofErr w:type="gramEnd"/>
            <w:r>
              <w:t>;</w:t>
            </w:r>
          </w:p>
          <w:p w:rsidR="008043F9" w:rsidRDefault="008043F9">
            <w:pPr>
              <w:pStyle w:val="ConsPlusNormal"/>
            </w:pPr>
            <w:r>
              <w:t>определение участников процесса межведомственного взаимодействия, их ролей и ответственности в указанном процессе;</w:t>
            </w:r>
          </w:p>
          <w:p w:rsidR="008043F9" w:rsidRDefault="008043F9">
            <w:pPr>
              <w:pStyle w:val="ConsPlusNormal"/>
            </w:pPr>
            <w:r>
              <w:t>разработка форм документов для обмена данными в рамках межведомственного взаимодействия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Приказ ДСЗН и ДОЗН 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заболевания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Обеспечение передачи данных о медицинских рекомендациях </w:t>
            </w:r>
            <w:r>
              <w:lastRenderedPageBreak/>
              <w:t>по уходу по завершении медицинского приема (госпитализации) медицинскими организациями в организации социального обслуживания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ДОЗН, 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Использование переданных медицинскими организациями в </w:t>
            </w:r>
            <w:r>
              <w:lastRenderedPageBreak/>
              <w:t>организации социального обслуживания данных о медицинских рекомендациях по уходу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Июль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Разработка предложений по получению информации медицинскими организациями о гражданах, получающих социальные услуги и нуждающихся в медицинской помощи;</w:t>
            </w:r>
          </w:p>
          <w:p w:rsidR="008043F9" w:rsidRDefault="008043F9">
            <w:pPr>
              <w:pStyle w:val="ConsPlusNormal"/>
            </w:pPr>
            <w:r>
              <w:t>разработка форм документов для обмена данными в рамках межведомственного взаимодействия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Приказ ДСЗН и ДОЗН об утверждении порядка информационного обмена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</w:t>
            </w:r>
            <w:r>
              <w:lastRenderedPageBreak/>
              <w:t>жизненные потребности в силу заболевания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Январь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Июль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Определение основной информационной системы, на основе которой будет формироваться единая база данных о гражданах, нуждающихся (потенциально нуждающихся) в предоставлении социальных услуг, в рамках СДУ и подготовка технического задания на разработку соответствующей информационной системы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Определена информационная система, обеспечивающая обмен необходимыми данными между участниками СДУ, хранение данных, а также формирование необходимых отчетов в рамках СДУ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Внедрение в эксплуатацию временного информационного решения межведомственн</w:t>
            </w:r>
            <w:r>
              <w:lastRenderedPageBreak/>
              <w:t>ого обмена данными о гражданах, нуждающихся (потенциально нуждающихся) в предоставлении социальных услуг, для работы СДУ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ДОЗН, 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Внедренное в эксплуатацию временное информационное решение межведомственн</w:t>
            </w:r>
            <w:r>
              <w:lastRenderedPageBreak/>
              <w:t>ого обмена данными о гражданах, нуждающихся (потенциально нуждающихся) в предоставлении социальных услуг, для работы СДУ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Сентябрь 2019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6.7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Формирование на базе координационного центра СДУ единой базы данных граждан, нуждающихся (потенциально нуждающихся) в предоставлении социальных услуг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ДОЗН, ДСЗН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Сформирована единая база данных граждан, нуждающихся (потенциально нуждающихся) в предоставлении социальных услуг для обеспечения сбалансированности медицинской помощи, социального обслуживания и социального сопровождения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12616" w:type="dxa"/>
            <w:gridSpan w:val="9"/>
          </w:tcPr>
          <w:p w:rsidR="008043F9" w:rsidRDefault="008043F9">
            <w:pPr>
              <w:pStyle w:val="ConsPlusNormal"/>
              <w:jc w:val="center"/>
              <w:outlineLvl w:val="2"/>
            </w:pPr>
            <w:r>
              <w:t>7. Оценка эффективности реализации настоящего плана мероприятий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Оценка исполнения настоящего плана </w:t>
            </w:r>
            <w:r>
              <w:lastRenderedPageBreak/>
              <w:t>мероприятий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lastRenderedPageBreak/>
              <w:t>ДСЗН, ДОЗН</w:t>
            </w:r>
          </w:p>
        </w:tc>
        <w:tc>
          <w:tcPr>
            <w:tcW w:w="1814" w:type="dxa"/>
            <w:vMerge w:val="restart"/>
          </w:tcPr>
          <w:p w:rsidR="008043F9" w:rsidRDefault="008043F9">
            <w:pPr>
              <w:pStyle w:val="ConsPlusNormal"/>
            </w:pPr>
            <w:r>
              <w:t xml:space="preserve">Подготовлены предложения по дальнейшему внедрению СДУ и </w:t>
            </w:r>
            <w:r>
              <w:lastRenderedPageBreak/>
              <w:t>совершенствованию данной работы</w:t>
            </w:r>
          </w:p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lastRenderedPageBreak/>
              <w:t>Апрель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>Анализ результатов создания СДУ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8043F9" w:rsidRDefault="008043F9"/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Осуществление расчета социальных эффектов от создания СДУ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расчета прогнозных значений на плановый период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8043F9" w:rsidRDefault="008043F9"/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  <w:tr w:rsidR="008043F9">
        <w:tc>
          <w:tcPr>
            <w:tcW w:w="709" w:type="dxa"/>
          </w:tcPr>
          <w:p w:rsidR="008043F9" w:rsidRDefault="008043F9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814" w:type="dxa"/>
          </w:tcPr>
          <w:p w:rsidR="008043F9" w:rsidRDefault="008043F9">
            <w:pPr>
              <w:pStyle w:val="ConsPlusNormal"/>
            </w:pPr>
            <w:r>
              <w:t xml:space="preserve">Осуществление расчета финансово-экономических эффектов от создания СДУ в </w:t>
            </w:r>
            <w:proofErr w:type="spellStart"/>
            <w:r>
              <w:t>пилотных</w:t>
            </w:r>
            <w:proofErr w:type="spellEnd"/>
            <w:r>
              <w:t xml:space="preserve"> муниципальных образованиях и расчета прогнозных значений на плановый период</w:t>
            </w:r>
          </w:p>
        </w:tc>
        <w:tc>
          <w:tcPr>
            <w:tcW w:w="1644" w:type="dxa"/>
          </w:tcPr>
          <w:p w:rsidR="008043F9" w:rsidRDefault="008043F9">
            <w:pPr>
              <w:pStyle w:val="ConsPlusNormal"/>
            </w:pPr>
            <w:r>
              <w:t>ДСЗН, ДОЗН</w:t>
            </w:r>
          </w:p>
        </w:tc>
        <w:tc>
          <w:tcPr>
            <w:tcW w:w="1814" w:type="dxa"/>
            <w:vMerge/>
          </w:tcPr>
          <w:p w:rsidR="008043F9" w:rsidRDefault="008043F9"/>
        </w:tc>
        <w:tc>
          <w:tcPr>
            <w:tcW w:w="1304" w:type="dxa"/>
          </w:tcPr>
          <w:p w:rsidR="008043F9" w:rsidRDefault="008043F9">
            <w:pPr>
              <w:pStyle w:val="ConsPlusNormal"/>
            </w:pPr>
            <w:r>
              <w:t>Ноябрь 2019 года</w:t>
            </w:r>
          </w:p>
        </w:tc>
        <w:tc>
          <w:tcPr>
            <w:tcW w:w="1361" w:type="dxa"/>
          </w:tcPr>
          <w:p w:rsidR="008043F9" w:rsidRDefault="008043F9">
            <w:pPr>
              <w:pStyle w:val="ConsPlusNormal"/>
            </w:pPr>
            <w:r>
              <w:t>Декабрь 2021 года</w:t>
            </w:r>
          </w:p>
        </w:tc>
        <w:tc>
          <w:tcPr>
            <w:tcW w:w="141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6" w:type="dxa"/>
          </w:tcPr>
          <w:p w:rsidR="008043F9" w:rsidRDefault="008043F9">
            <w:pPr>
              <w:pStyle w:val="ConsPlusNormal"/>
              <w:jc w:val="center"/>
            </w:pPr>
            <w:r>
              <w:t>-</w:t>
            </w:r>
          </w:p>
        </w:tc>
      </w:tr>
    </w:tbl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jc w:val="both"/>
      </w:pPr>
    </w:p>
    <w:p w:rsidR="008043F9" w:rsidRDefault="00804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CC6" w:rsidRDefault="003E1CC6"/>
    <w:sectPr w:rsidR="003E1CC6" w:rsidSect="00C16F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F9"/>
    <w:rsid w:val="0001532A"/>
    <w:rsid w:val="00016C64"/>
    <w:rsid w:val="0003053F"/>
    <w:rsid w:val="000323CD"/>
    <w:rsid w:val="000649B7"/>
    <w:rsid w:val="00067F1E"/>
    <w:rsid w:val="000C2E7E"/>
    <w:rsid w:val="000C2FBE"/>
    <w:rsid w:val="00102765"/>
    <w:rsid w:val="001323C7"/>
    <w:rsid w:val="001C729D"/>
    <w:rsid w:val="001C7F0B"/>
    <w:rsid w:val="001D7DCE"/>
    <w:rsid w:val="001F11CD"/>
    <w:rsid w:val="002041ED"/>
    <w:rsid w:val="00213B2E"/>
    <w:rsid w:val="00235099"/>
    <w:rsid w:val="00282F9C"/>
    <w:rsid w:val="002A6548"/>
    <w:rsid w:val="002C67C9"/>
    <w:rsid w:val="002E15B4"/>
    <w:rsid w:val="002F0249"/>
    <w:rsid w:val="002F3E44"/>
    <w:rsid w:val="003626A3"/>
    <w:rsid w:val="003E1CC6"/>
    <w:rsid w:val="003E540B"/>
    <w:rsid w:val="00400FF2"/>
    <w:rsid w:val="00413C75"/>
    <w:rsid w:val="004158D5"/>
    <w:rsid w:val="00431C51"/>
    <w:rsid w:val="00453A1D"/>
    <w:rsid w:val="00473927"/>
    <w:rsid w:val="00474E34"/>
    <w:rsid w:val="00484116"/>
    <w:rsid w:val="00496511"/>
    <w:rsid w:val="004D2786"/>
    <w:rsid w:val="004E0DCD"/>
    <w:rsid w:val="004F78E2"/>
    <w:rsid w:val="00513BE3"/>
    <w:rsid w:val="00526910"/>
    <w:rsid w:val="005342E5"/>
    <w:rsid w:val="00550834"/>
    <w:rsid w:val="0055487E"/>
    <w:rsid w:val="00565B50"/>
    <w:rsid w:val="0058531C"/>
    <w:rsid w:val="00592ED6"/>
    <w:rsid w:val="005A4004"/>
    <w:rsid w:val="005C6EC1"/>
    <w:rsid w:val="005D6FF8"/>
    <w:rsid w:val="006205B0"/>
    <w:rsid w:val="0066437B"/>
    <w:rsid w:val="006710CD"/>
    <w:rsid w:val="006827E6"/>
    <w:rsid w:val="006B19D0"/>
    <w:rsid w:val="006C141C"/>
    <w:rsid w:val="006D2FB3"/>
    <w:rsid w:val="006E0538"/>
    <w:rsid w:val="006F5CDD"/>
    <w:rsid w:val="00731E1F"/>
    <w:rsid w:val="00735555"/>
    <w:rsid w:val="00760A75"/>
    <w:rsid w:val="00765EA8"/>
    <w:rsid w:val="00786B28"/>
    <w:rsid w:val="007B0D86"/>
    <w:rsid w:val="008043F9"/>
    <w:rsid w:val="00807F7D"/>
    <w:rsid w:val="008160CF"/>
    <w:rsid w:val="00830A5A"/>
    <w:rsid w:val="008500CF"/>
    <w:rsid w:val="00852BFC"/>
    <w:rsid w:val="00852CC8"/>
    <w:rsid w:val="00854346"/>
    <w:rsid w:val="008954CC"/>
    <w:rsid w:val="00895B32"/>
    <w:rsid w:val="00896CE9"/>
    <w:rsid w:val="008B0DDC"/>
    <w:rsid w:val="008C235A"/>
    <w:rsid w:val="008E3F4C"/>
    <w:rsid w:val="00937B69"/>
    <w:rsid w:val="00942271"/>
    <w:rsid w:val="00954A33"/>
    <w:rsid w:val="00971A4F"/>
    <w:rsid w:val="009A4F58"/>
    <w:rsid w:val="009B34D5"/>
    <w:rsid w:val="009C5F54"/>
    <w:rsid w:val="009D0BB1"/>
    <w:rsid w:val="00A15520"/>
    <w:rsid w:val="00A70F7C"/>
    <w:rsid w:val="00A824DA"/>
    <w:rsid w:val="00AA22A2"/>
    <w:rsid w:val="00AD0301"/>
    <w:rsid w:val="00AD4436"/>
    <w:rsid w:val="00AD53E9"/>
    <w:rsid w:val="00AE01BD"/>
    <w:rsid w:val="00B00EE5"/>
    <w:rsid w:val="00B21D00"/>
    <w:rsid w:val="00B2612A"/>
    <w:rsid w:val="00B63B3E"/>
    <w:rsid w:val="00B74630"/>
    <w:rsid w:val="00B778CD"/>
    <w:rsid w:val="00BE03BB"/>
    <w:rsid w:val="00C21FC9"/>
    <w:rsid w:val="00C37940"/>
    <w:rsid w:val="00C50DEC"/>
    <w:rsid w:val="00C84C31"/>
    <w:rsid w:val="00CC711C"/>
    <w:rsid w:val="00CF23DC"/>
    <w:rsid w:val="00D029DF"/>
    <w:rsid w:val="00D25CC9"/>
    <w:rsid w:val="00D51797"/>
    <w:rsid w:val="00D71D91"/>
    <w:rsid w:val="00D93E28"/>
    <w:rsid w:val="00D945A4"/>
    <w:rsid w:val="00DB6496"/>
    <w:rsid w:val="00DD4E3A"/>
    <w:rsid w:val="00E20CDF"/>
    <w:rsid w:val="00E333F0"/>
    <w:rsid w:val="00E56F22"/>
    <w:rsid w:val="00E77A42"/>
    <w:rsid w:val="00EA7037"/>
    <w:rsid w:val="00EB4E2D"/>
    <w:rsid w:val="00EC1FD0"/>
    <w:rsid w:val="00EE36A4"/>
    <w:rsid w:val="00EF56CF"/>
    <w:rsid w:val="00F1698E"/>
    <w:rsid w:val="00F73EFC"/>
    <w:rsid w:val="00F93AC3"/>
    <w:rsid w:val="00F9501C"/>
    <w:rsid w:val="00FB3926"/>
    <w:rsid w:val="00F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4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3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8EA1AEFB3663B2389A32F77CFC0BF2F2663A7D33E0BE257ACE2A137F8CC95A75A2AB020ED6AFEAB64B851802288EAGENDD" TargetMode="External"/><Relationship Id="rId13" Type="http://schemas.openxmlformats.org/officeDocument/2006/relationships/hyperlink" Target="consultantplus://offline/ref=AF98EA1AEFB3663B2389BD2261A39CBA2A2438AEDE3F05BD02F3B9FC60F1C6C2F2152BEC64BF79FFAD64BB509FG2N9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98EA1AEFB3663B2389A32F77CFC0BF2F2663A7D33807E956ACE2A137F8CC95A75A2AB020ED6AFEAB64B851802288EAGENDD" TargetMode="External"/><Relationship Id="rId12" Type="http://schemas.openxmlformats.org/officeDocument/2006/relationships/hyperlink" Target="consultantplus://offline/ref=AF98EA1AEFB3663B2389BD2261A39CBA2A2438AEDE3F05BD02F3B9FC60F1C6C2F2152BEC64BF79FFAD64BB509FG2N9D" TargetMode="External"/><Relationship Id="rId17" Type="http://schemas.openxmlformats.org/officeDocument/2006/relationships/hyperlink" Target="consultantplus://offline/ref=AF98EA1AEFB3663B2389BD2261A39CBA282F39AAD93B05BD02F3B9FC60F1C6C2F2152BEC64BF79FFAD64BB509FG2N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98EA1AEFB3663B2389BD2261A39CBA282F39AAD93B05BD02F3B9FC60F1C6C2F2152BEC64BF79FFAD64BB509FG2N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8EA1AEFB3663B2389A32F77CFC0BF2F2663A7DC3B0AE35BACE2A137F8CC95A75A2AB020ED6AFEAB64B851802288EAGENDD" TargetMode="External"/><Relationship Id="rId11" Type="http://schemas.openxmlformats.org/officeDocument/2006/relationships/hyperlink" Target="consultantplus://offline/ref=AF98EA1AEFB3663B2389A32F77CFC0BF2F2663A7DB3B0EEC5DA3BFAB3FA1C097A05575B527FC6AFFAC7AB9519A2BDCBAA0CD1DAEC8AF968E5DBC70A1G4N4D" TargetMode="External"/><Relationship Id="rId5" Type="http://schemas.openxmlformats.org/officeDocument/2006/relationships/hyperlink" Target="consultantplus://offline/ref=AF98EA1AEFB3663B2389A32F77CFC0BF2F2663A7D33D0AE259ACE2A137F8CC95A75A2AA220B566FEAC7AB8559574D9AFB19510A9D1B0969141BE71GAN9D" TargetMode="External"/><Relationship Id="rId15" Type="http://schemas.openxmlformats.org/officeDocument/2006/relationships/hyperlink" Target="consultantplus://offline/ref=AF98EA1AEFB3663B2389BD2261A39CBA282C3DABDA3905BD02F3B9FC60F1C6C2E01573E064B866FDAF71ED01DA7585EBE38611AFD1B3978EG4NAD" TargetMode="External"/><Relationship Id="rId10" Type="http://schemas.openxmlformats.org/officeDocument/2006/relationships/hyperlink" Target="consultantplus://offline/ref=AF98EA1AEFB3663B2389A32F77CFC0BF2F2663A7D2380AE35BACE2A137F8CC95A75A2AB020ED6AFEAB64B851802288EAGEND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F98EA1AEFB3663B2389A32F77CFC0BF2F2663A7D33D0EEB5CACE2A137F8CC95A75A2AA220B566FEAC7AB8529574D9AFB19510A9D1B0969141BE71GAN9D" TargetMode="External"/><Relationship Id="rId9" Type="http://schemas.openxmlformats.org/officeDocument/2006/relationships/hyperlink" Target="consultantplus://offline/ref=AF98EA1AEFB3663B2389A32F77CFC0BF2F2663A7DB3B0EED5DA3BFAB3FA1C097A05575B527FC6AFFAF7FBA56972BDCBAA0CD1DAEC8AF968E5DBC70A1G4N4D" TargetMode="External"/><Relationship Id="rId14" Type="http://schemas.openxmlformats.org/officeDocument/2006/relationships/hyperlink" Target="consultantplus://offline/ref=AF98EA1AEFB3663B2389A32F77CFC0BF2F2663A7D23E0CED5EACE2A137F8CC95A75A2AB020ED6AFEAB64B851802288EAGE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10303</Words>
  <Characters>58731</Characters>
  <Application>Microsoft Office Word</Application>
  <DocSecurity>0</DocSecurity>
  <Lines>489</Lines>
  <Paragraphs>137</Paragraphs>
  <ScaleCrop>false</ScaleCrop>
  <Company/>
  <LinksUpToDate>false</LinksUpToDate>
  <CharactersWithSpaces>68897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Шамшина Елена Н.</dc:creator>
  <cp:lastModifiedBy>Шамшина Елена Н.</cp:lastModifiedBy>
  <cp:revision>1</cp:revision>
  <dcterms:created xsi:type="dcterms:W3CDTF">2019-11-07T03:13:00Z</dcterms:created>
  <dcterms:modified xsi:type="dcterms:W3CDTF">2019-11-07T03:13:00Z</dcterms:modified>
</cp:coreProperties>
</file>