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29"/>
        </w:rPr>
      </w:pPr>
      <w:r>
        <w:rPr>
          <w:rFonts w:eastAsia="Times New Roman" w:cs="Times New Roman" w:ascii="Times New Roman" w:hAnsi="Times New Roman"/>
          <w:sz w:val="29"/>
        </w:rPr>
        <w:t xml:space="preserve">                   </w:t>
      </w:r>
    </w:p>
    <w:p>
      <w:pPr>
        <w:pStyle w:val="Normal"/>
        <w:ind w:hanging="0"/>
        <w:jc w:val="center"/>
        <w:rPr/>
      </w:pPr>
      <w:r>
        <w:rPr/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48"/>
        </w:rPr>
      </w:pPr>
      <w:r>
        <w:rPr>
          <w:rFonts w:eastAsia="Times New Roman" w:cs="Times New Roman" w:ascii="Times New Roman" w:hAnsi="Times New Roman"/>
          <w:sz w:val="48"/>
        </w:rPr>
        <w:t xml:space="preserve">Бизнес-план </w:t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48"/>
        </w:rPr>
      </w:pPr>
      <w:r>
        <w:rPr>
          <w:rFonts w:eastAsia="Times New Roman" w:cs="Times New Roman" w:ascii="Times New Roman" w:hAnsi="Times New Roman"/>
          <w:sz w:val="48"/>
        </w:rPr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48"/>
        </w:rPr>
      </w:pPr>
      <w:r>
        <w:rPr>
          <w:rFonts w:eastAsia="Times New Roman" w:cs="Times New Roman" w:ascii="Times New Roman" w:hAnsi="Times New Roman"/>
          <w:sz w:val="48"/>
        </w:rPr>
        <w:t>«Производство мебели»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</w:rPr>
        <w:t xml:space="preserve"> </w:t>
      </w:r>
    </w:p>
    <w:p>
      <w:pPr>
        <w:pStyle w:val="Normal"/>
        <w:widowControl/>
        <w:spacing w:lineRule="auto" w:line="266" w:before="0" w:after="8"/>
        <w:ind w:hanging="0" w:right="-1"/>
        <w:jc w:val="center"/>
        <w:rPr>
          <w:rFonts w:ascii="Times New Roman" w:hAnsi="Times New Roman"/>
          <w:sz w:val="29"/>
          <w:szCs w:val="29"/>
        </w:rPr>
      </w:pPr>
      <w:r>
        <w:rPr>
          <w:rFonts w:ascii="Times New Roman" w:hAnsi="Times New Roman"/>
          <w:sz w:val="29"/>
          <w:szCs w:val="29"/>
        </w:rPr>
        <w:t xml:space="preserve">Данный бизнес-план подготовлен в рамках заключения </w:t>
      </w:r>
    </w:p>
    <w:p>
      <w:pPr>
        <w:pStyle w:val="Normal"/>
        <w:widowControl/>
        <w:spacing w:lineRule="auto" w:line="266" w:before="0" w:after="8"/>
        <w:ind w:hanging="0" w:right="-1"/>
        <w:jc w:val="center"/>
        <w:rPr>
          <w:rFonts w:ascii="Times New Roman" w:hAnsi="Times New Roman"/>
          <w:sz w:val="29"/>
          <w:szCs w:val="29"/>
        </w:rPr>
      </w:pPr>
      <w:r>
        <w:rPr>
          <w:rFonts w:eastAsia="Times New Roman" w:cs="Times New Roman" w:ascii="Times New Roman" w:hAnsi="Times New Roman"/>
          <w:sz w:val="29"/>
          <w:szCs w:val="29"/>
        </w:rPr>
        <w:t>социального контракта по мероприятию «О</w:t>
      </w:r>
      <w:r>
        <w:rPr>
          <w:rFonts w:eastAsia="Times New Roman" w:cs="Times New Roman" w:ascii="Times New Roman" w:hAnsi="Times New Roman"/>
          <w:sz w:val="28"/>
          <w:szCs w:val="28"/>
        </w:rPr>
        <w:t>существление индивидуальной предпринимательской деятельности (самозанятости)</w:t>
      </w:r>
      <w:r>
        <w:rPr>
          <w:rFonts w:eastAsia="Times New Roman" w:cs="Times New Roman" w:ascii="Times New Roman" w:hAnsi="Times New Roman"/>
          <w:sz w:val="29"/>
          <w:szCs w:val="29"/>
        </w:rPr>
        <w:t>»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firstLine="720" w:left="721"/>
        <w:jc w:val="center"/>
        <w:rPr/>
      </w:pPr>
      <w:r>
        <w:rPr/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spacing w:before="0" w:after="17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</w:rPr>
        <w:t>Разработчик:</w:t>
      </w:r>
    </w:p>
    <w:p>
      <w:pPr>
        <w:pStyle w:val="Normal"/>
        <w:spacing w:lineRule="auto" w:line="266" w:before="0" w:after="8"/>
        <w:ind w:hanging="10" w:left="4651" w:right="54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Общая стоимость проекта: 350 000 рублей </w:t>
      </w:r>
    </w:p>
    <w:p>
      <w:pPr>
        <w:pStyle w:val="Normal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Собственные средства: 0 рублей </w:t>
      </w:r>
    </w:p>
    <w:p>
      <w:pPr>
        <w:pStyle w:val="Normal"/>
        <w:spacing w:before="0" w:after="29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Финансовая помощь: 350 000 рублей </w:t>
      </w:r>
    </w:p>
    <w:p>
      <w:pPr>
        <w:pStyle w:val="Normal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Срок окупаемости проекта: 3 месяц </w:t>
      </w:r>
    </w:p>
    <w:p>
      <w:pPr>
        <w:pStyle w:val="Normal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jc w:val="right"/>
        <w:rPr/>
      </w:pPr>
      <w:r>
        <w:rPr/>
      </w:r>
    </w:p>
    <w:p>
      <w:pPr>
        <w:pStyle w:val="Normal"/>
        <w:spacing w:lineRule="auto" w:line="278"/>
        <w:ind w:hanging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Бизнес-план является собственностью автора, запрещается использовать в нарушение соответствующих положений действующего законодательства по защите авторских прав.</w:t>
      </w:r>
    </w:p>
    <w:p>
      <w:pPr>
        <w:pStyle w:val="Normal"/>
        <w:spacing w:lineRule="auto" w:line="278"/>
        <w:ind w:firstLine="165" w:left="63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8"/>
        <w:ind w:hanging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г.  _______________________, 2026</w:t>
      </w:r>
      <w:r>
        <w:br w:type="page"/>
      </w:r>
    </w:p>
    <w:p>
      <w:pPr>
        <w:pStyle w:val="Normal"/>
        <w:spacing w:lineRule="auto" w:line="276" w:before="0" w:after="0"/>
        <w:ind w:hanging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tbl>
      <w:tblPr>
        <w:tblStyle w:val="11"/>
        <w:tblW w:w="10207" w:type="dxa"/>
        <w:jc w:val="left"/>
        <w:tblInd w:w="-601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val="0400" w:noHBand="0" w:noVBand="1" w:firstColumn="0" w:lastRow="0" w:lastColumn="0" w:firstRow="0"/>
      </w:tblPr>
      <w:tblGrid>
        <w:gridCol w:w="5209"/>
        <w:gridCol w:w="36"/>
        <w:gridCol w:w="993"/>
        <w:gridCol w:w="992"/>
        <w:gridCol w:w="990"/>
        <w:gridCol w:w="1023"/>
        <w:gridCol w:w="964"/>
      </w:tblGrid>
      <w:tr>
        <w:trPr>
          <w:trHeight w:val="144" w:hRule="atLeast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ru-RU" w:eastAsia="ru-RU" w:bidi="ar-SA"/>
              </w:rPr>
              <w:t>I. СВЕДЕНИЯ О ЗАЯВИТЕЛЕ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144" w:hRule="atLeast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suppressAutoHyphens w:val="true"/>
              <w:spacing w:before="0" w:after="0"/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ФИО</w:t>
            </w:r>
          </w:p>
        </w:tc>
        <w:tc>
          <w:tcPr>
            <w:tcW w:w="49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144" w:hRule="atLeast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suppressAutoHyphens w:val="true"/>
              <w:spacing w:before="0" w:after="0"/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Дата рождения, число полных лет</w:t>
            </w:r>
          </w:p>
        </w:tc>
        <w:tc>
          <w:tcPr>
            <w:tcW w:w="49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144" w:hRule="atLeast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suppressAutoHyphens w:val="true"/>
              <w:spacing w:before="0" w:after="0"/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Адрес регистрации</w:t>
            </w:r>
          </w:p>
        </w:tc>
        <w:tc>
          <w:tcPr>
            <w:tcW w:w="49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Кемеровская область - Кузбасс</w:t>
            </w:r>
          </w:p>
        </w:tc>
      </w:tr>
      <w:tr>
        <w:trPr>
          <w:trHeight w:val="144" w:hRule="atLeast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suppressAutoHyphens w:val="true"/>
              <w:spacing w:before="0" w:after="0"/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Контактный телефон, электронная почта</w:t>
            </w:r>
          </w:p>
        </w:tc>
        <w:tc>
          <w:tcPr>
            <w:tcW w:w="49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lang w:val="en-US"/>
              </w:rPr>
            </w:r>
          </w:p>
        </w:tc>
      </w:tr>
      <w:tr>
        <w:trPr>
          <w:trHeight w:val="144" w:hRule="atLeast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suppressAutoHyphens w:val="true"/>
              <w:spacing w:before="0" w:after="0"/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Опыт осуществления предпринимательской деятельности (имею/не имею)</w:t>
            </w:r>
          </w:p>
          <w:p>
            <w:pPr>
              <w:pStyle w:val="Normal"/>
              <w:widowControl/>
              <w:tabs>
                <w:tab w:val="clear" w:pos="720"/>
                <w:tab w:val="left" w:pos="480" w:leader="none"/>
              </w:tabs>
              <w:suppressAutoHyphens w:val="true"/>
              <w:spacing w:before="0" w:after="0"/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(в случае наличия описать)</w:t>
            </w:r>
          </w:p>
        </w:tc>
        <w:tc>
          <w:tcPr>
            <w:tcW w:w="49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Не имею официального опыта предпринимательской деятельности.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 18.09.2023 г. зарегистрирован в качестве самозанятого</w:t>
            </w:r>
          </w:p>
        </w:tc>
      </w:tr>
      <w:tr>
        <w:trPr>
          <w:trHeight w:val="144" w:hRule="atLeast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suppressAutoHyphens w:val="true"/>
              <w:spacing w:before="0" w:after="0"/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Согласие на обработку персональных данных (ФИО, подпись лиц, персональные данные которых представлены в анкете)</w:t>
            </w:r>
          </w:p>
        </w:tc>
        <w:tc>
          <w:tcPr>
            <w:tcW w:w="49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144" w:hRule="atLeast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ru-RU" w:eastAsia="ru-RU" w:bidi="ar-SA"/>
              </w:rPr>
              <w:t>II. ИНФОРМАЦИЯ О ПРОЕКТЕ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229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ru-RU" w:eastAsia="ru-RU" w:bidi="ar-SA"/>
              </w:rPr>
              <w:t>2. Краткое описание проекта: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335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suppressAutoHyphens w:val="true"/>
              <w:spacing w:before="0" w:after="0"/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Цель проекта (производство, продажа, оказание услуг и пр.)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Организация мастерской по изготовлению авторской мебели в стиле Loft, а также оказание услуг по сборке и монтажу металлоконструкций любой сложности как в собственном помещении, так и на территории заказчика в Кемеровской области - Кузбассе.</w:t>
            </w:r>
          </w:p>
        </w:tc>
      </w:tr>
      <w:tr>
        <w:trPr>
          <w:trHeight w:val="335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suppressAutoHyphens w:val="true"/>
              <w:spacing w:before="0" w:after="0"/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Краткое описание процесса производства / оказания услуг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Проект объединяет два направления.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1. Лофт-мебель: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закупка металла и дерева, нарезка профиля, сварка каркасов полуавтоматом, шлифовка, покраска краскопультом и сборка готовых изделий.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2. Металлоконструкции: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выезд на объект к заказчику для замеров, заготовка элементов на своей территории (ворота, заборы, навесы, каркасы лестници т.п.), выездной монтаж и сварка на объекте с использованием автономного бензогенератора и монтажного инструмента.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Весь операционный цикл мастерской организован по четкой пятиэтапной схеме, объединяющей производство Loft-мебели и выездной монтаж металлоконструкций: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1. Маркетинг и привлечение клиентов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br/>
              <w:t>Продвижение продукции и услуг ведется параллельно по двум направлениям. Для розничных региональных клиентов и заказчиков металлоконструкций настраивается регулярная публикация объявлений на площадках «Авито» и «Юла», а также ведение живого видеоконтента в социальных сетях («ВКонтакте»). Для масштабирования серийных мебельных изделий (полки, журнальные столы, декор) осуществляется регистрация личного кабинета селлера на маркетплейсах Ozon и Wildberries с последующей отгрузкой товаров по системам FBO/FBS.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2. Взаимодействие с клиентом и согласование заказа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br/>
              <w:t>После получения заявки через интернет-ресурсы или сарафанное радио оперативно рассчитывается предварительная стоимость по эскизу или фото за 2 часа. При необходимости (для сложных конструкций или коммерческих объектов типа ресторанов) осуществляется выезд на замер в день обращения. На основе точных параметров разрабатывается технический чертеж изделия, согласовываются материалы (профиль металла, порода дерева, тип покрытия), утверждаются сроки и подписывается официальный договор.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3. Поэтапное изготовление в мастерской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br/>
              <w:t>Производственный процесс в гараже площадью 35 кв. м разделен на технологические этапы: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Заготовка: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скоростной раскрой профильной трубы торцовочной пилой и калибровка деревянных мебельных щитов.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Сварка и слесарная обработка: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фиксация деталей на сварочно-сборочном верстаке, чистая сварка каркасов полуавтоматом MIG/MAG и последующая идеальная зачистка швов болгаркой «под покраску».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Малярные работы: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изолированное нанесение антикоррозийного грунта и кузнечной эмали краскопультом от компрессора.</w:t>
            </w:r>
          </w:p>
          <w:p>
            <w:pPr>
              <w:pStyle w:val="Normal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Столярная обработка и финишная сборка: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орбитальная шлифовка дерева, покрытие натуральными маслами и соединение металлических и деревянных частей в готовое изделие.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4. Доставка и монтажные работы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br/>
              <w:t>Для локальных заказчиков в Кемеровской области - Кузбассе доставка осуществляется собственным автотранспортом. При заказе уличных или интерьерных металлоконструкций бригада выезжает на объект, разворачивает автономный бензогенератор и выполняет капитальный монтаж с анкерным креплением к основаниям. Для покупателей с маркетплейсов и из других регионов РФ готовая мебель тщательно упаковывается в защитную пузырьковую пленку и жесткий картон, после чего сдается в пункты приема СДЭК, Ozon или Деловые Линии.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5. Порядок оплаты и гарантийные обязательства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br/>
              <w:t>Работа с физическими и юридическими лицами строится на условиях предоплаты 50% (на закупку материалов) и окончательного расчета 50% после подписания акта приема-передачи или отгрузки в ТК. Все платежи проводятся официально через приложение «Мой налог» с выдачей чеков. На всю выпускаемую продукцию предоставляется железная гарантия 12 месяцев, а на сварные швы каркасов — пожизненная гарантия, что является ключевым фактором надежности мастерской и отстройки от конкурентов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335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suppressAutoHyphens w:val="true"/>
              <w:spacing w:before="0" w:after="0"/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Вид экономической деятельности (ОКВЭД)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Основной: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31.09 — Производство прочей мебели.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br/>
              <w:t>Дополнительные: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31.01 — Производство мебели для офисов и предприятий торговли.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31.02 — Производство кухонной мебели.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25.11 — Производство строительных металлических конструкций, изделий и их частей.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43.99 — Работы строительные специализированные прочие, не включенные в другие группировки.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25.62 — Обработка металлических изделий механическая.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47.91 — Торговля розничная по почте или по информационно-коммуникационной сети Интернет.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47.59 — Торговля розничная мебелью, осветительными приборами и прочими бытовыми изделиями в специализированных магазинах.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46.47 — Торговля оптовая мебелью, коврами и осветительным оборудованием.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25.61 — Обработка металлов и нанесение покрытий на металлы.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16.23 — Производство прочих деревянных строительных конструкций и столярных изделий.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47.59.1 — Торговля розничная мебелью в специализированных магазинах.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47.52.7 — Торговля розничная строительными материалами, не включенными в другие группировки, в специализированных магазинах.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47.78.3 — Торговля розничная сувенирами, изделиями народных художественных промыслов.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47.89 — Торговля розничная в нестационарных торговых объектах и на рынках прочими товарами.</w:t>
            </w:r>
          </w:p>
        </w:tc>
      </w:tr>
      <w:tr>
        <w:trPr>
          <w:trHeight w:val="335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suppressAutoHyphens w:val="true"/>
              <w:spacing w:before="0" w:after="0"/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Описание продукции (товары, работы, услуги); предлагаемой потребителю, с указанием количества единиц в мес.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Направление «Мебель»: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Обеденные и офисные Loft-столы –</w:t>
            </w:r>
            <w:r>
              <w:rPr>
                <w:rFonts w:eastAsia="Arial" w:cs="Arial"/>
                <w:b/>
                <w:bCs/>
                <w:kern w:val="0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от 14 000 до 35 000 рублей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за изделие в зависимости от габаритов и породы дерева /4 шт. в месяц;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Стеллажи и системы хранения –</w:t>
            </w:r>
            <w:r>
              <w:rPr>
                <w:rFonts w:eastAsia="Arial" w:cs="Arial"/>
                <w:b/>
                <w:bCs/>
                <w:kern w:val="0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от 12 000 до 28 000 рублей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за штуку в зависимости от количества полок и сложности каркаса /5 шт. в месяц;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Стулья и барные табуреты –</w:t>
            </w:r>
            <w:r>
              <w:rPr>
                <w:rFonts w:eastAsia="Arial" w:cs="Arial"/>
                <w:b/>
                <w:bCs/>
                <w:kern w:val="0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от 4 500 до 9 000 рублей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за единицу/8 шт. в месяц.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br/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Направление «Услуги»: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Сборка и монтаж металлоконструкций на объектах заказчика (заборы, каркасы, навесы) —</w:t>
            </w:r>
            <w:r>
              <w:rPr>
                <w:rFonts w:eastAsia="Arial" w:cs="Arial"/>
                <w:b/>
                <w:bCs/>
                <w:kern w:val="0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от 35 000 до 90 000 рублей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за объект в зависимости от объема сварочных работ и протяженности конструкции/ 2–3 крупных объекта в месяц.</w:t>
            </w:r>
          </w:p>
        </w:tc>
      </w:tr>
      <w:tr>
        <w:trPr>
          <w:trHeight w:val="335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suppressAutoHyphens w:val="true"/>
              <w:spacing w:before="0" w:after="0"/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География сбыта (отразить населенные пункты)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Кемеровская область - Кузбасс, близлежащие регионы СФО посредством отправки транспортными компаниями.</w:t>
            </w:r>
          </w:p>
        </w:tc>
      </w:tr>
      <w:tr>
        <w:trPr>
          <w:trHeight w:val="335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suppressAutoHyphens w:val="true"/>
              <w:spacing w:before="0" w:after="0"/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Потребитель продукции / услуг (юридические лица, физические лица)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B2C: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Частные лица (25–45 лет), заказывающие мебель для дома или металлоконструкции для загородных участков.</w:t>
              <w:br/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B2B: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Рестораны, кафе, бары, бьюти-студии, офисы, строительные компании и дизайнеры интерьеров.</w:t>
            </w:r>
          </w:p>
        </w:tc>
      </w:tr>
      <w:tr>
        <w:trPr>
          <w:trHeight w:val="335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suppressAutoHyphens w:val="true"/>
              <w:spacing w:before="0" w:after="0"/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Адрес ведения деятельности (аренды помещения)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Кемеровская область - Кузабасс</w:t>
            </w:r>
          </w:p>
        </w:tc>
      </w:tr>
      <w:tr>
        <w:trPr>
          <w:trHeight w:val="383" w:hRule="atLeast"/>
        </w:trPr>
        <w:tc>
          <w:tcPr>
            <w:tcW w:w="52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ru-RU" w:eastAsia="ru-RU" w:bidi="ar-SA"/>
              </w:rPr>
              <w:t>3. Сумма софинансирования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36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собственные и привлеченные источники (займы, кредиты и др. (указать отдельными строками)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36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Собственные средства – 0 рублей (сбережения).</w:t>
            </w:r>
          </w:p>
        </w:tc>
      </w:tr>
      <w:tr>
        <w:trPr>
          <w:trHeight w:val="382" w:hRule="atLeast"/>
        </w:trPr>
        <w:tc>
          <w:tcPr>
            <w:tcW w:w="524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Привлеченные источники – 350 000 рублей (социальный контракт на открытие собственного дела).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</w:rPr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Плановые показатели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отдельно за первые 3 месяца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накоплено за полугодие и год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4. 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ru-RU" w:eastAsia="ru-RU" w:bidi="ar-SA"/>
              </w:rPr>
              <w:t>Финансовые показатели проекта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1-ый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мес.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2-ой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мес.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3-ий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мес.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за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6 мес.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за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12 мес.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Выручка от реализации продукции/услуг, тыс. руб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130,00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190,00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260,00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1290,00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2960,00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Суммарные текущие расходы по проекту, тыс. руб.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78,00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105,00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821,00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1475,00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both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В т.ч.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Х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расходы на сырье и материалы при производстве продукции/услуг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 (профильные и круглые стальные трубы, уголки, швеллеры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мебельные щиты из массива сосны, лиственницы и дуба, доски, грунтовки по металлу, кузнечные эмали, натуральные масла и воски для дерева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сварочная проволока на катушках, штучные штукатурные электроды, углекислота в баллонах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отрезные и шлифовальные диски для УШМ, пильные диски для торцовочной пилы, анкерные болты, саморезы, мебельная фурнитура, МЕТАЛИЧЕСКИЙ ЛИСТ И ПРОФИЛЬ, и прочее)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80,95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78,00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105,00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551,95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1205,95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расходы на основные средства, оборудование и пр.: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269,05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269,05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269,05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Бензиновый генератор Huter DY8000LX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50,00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50,00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50,00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Сварочный полуавтомат инверторный Ресанта САИПА-220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en-US" w:eastAsia="ru-RU" w:bidi="ar-SA"/>
              </w:rPr>
              <w:t>MIG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 6в1 65/10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25,39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25,39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25,39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Перфоратор Makita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en-US" w:eastAsia="ru-RU" w:bidi="ar-SA"/>
              </w:rPr>
              <w:t>HR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2470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14,00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14,00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14,00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Универсальная торцовочная пила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en-US" w:eastAsia="ru-RU" w:bidi="ar-SA"/>
              </w:rPr>
              <w:t>Evolution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en-US" w:eastAsia="ru-RU" w:bidi="ar-SA"/>
              </w:rPr>
              <w:t>R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210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en-US" w:eastAsia="ru-RU" w:bidi="ar-SA"/>
              </w:rPr>
              <w:t>SMS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+ 048-0003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en-US" w:eastAsia="ru-RU" w:bidi="ar-SA"/>
              </w:rPr>
              <w:t>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56,40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56,40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56,40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Угловая шлифмашина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en-US" w:eastAsia="ru-RU" w:bidi="ar-SA"/>
              </w:rPr>
              <w:t>Makita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, ф125мм, 720Вт, 11000об/м, плавный пуск, антирестарт 2.7кг, кор.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en-US" w:eastAsia="ru-RU" w:bidi="ar-SA"/>
              </w:rPr>
              <w:t>GA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5030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en-US" w:eastAsia="ru-RU" w:bidi="ar-SA"/>
              </w:rPr>
              <w:t>R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 (Болгарки) — 2 единицы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16,98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16,98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16,98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Компрессор безмасляный малошумный FUBAG OLS 400/50 CM3.2 646073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29,60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29,60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29,60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Эксцентриковая полировальная машина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en-US" w:eastAsia="ru-RU" w:bidi="ar-SA"/>
              </w:rPr>
              <w:t>STATUS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en-US" w:eastAsia="ru-RU" w:bidi="ar-SA"/>
              </w:rPr>
              <w:t>XPA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12-125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en-US" w:eastAsia="ru-RU" w:bidi="ar-SA"/>
              </w:rPr>
              <w:t>E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 003391301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11,95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11,95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11,95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Аккумуляторная дрель Elitech CD 20SL2 (20В, 2х4Ач, 60Нм, BL) HD 205718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16,99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16,99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16,99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Набор цифровых измерительных инструментов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29,64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29,64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29,64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Баллон углекислотный (40 литров)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18,10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18,10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18,10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0"/>
                <w:szCs w:val="20"/>
                <w:lang w:val="ru-RU" w:eastAsia="ru-RU" w:bidi="ar-SA"/>
              </w:rPr>
              <w:t>Страховые взносы за себя за 12 месяцев</w:t>
            </w:r>
          </w:p>
        </w:tc>
        <w:tc>
          <w:tcPr>
            <w:tcW w:w="39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83,99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u w:val="singl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Ставка налога: ИП-УСН 6%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34,80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77,40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177,60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Чистая прибыль, тыс. руб. (разница между выручкой, расходами и налогами)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-220,00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-108,00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12,20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391,60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1223,41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ru-RU" w:eastAsia="ru-RU" w:bidi="ar-SA"/>
              </w:rPr>
              <w:t>5. Планируемая форма ведения бизнеса (индивидуальный предприниматель, самозанятый)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ИП УСН 6%</w:t>
            </w:r>
          </w:p>
        </w:tc>
      </w:tr>
    </w:tbl>
    <w:p>
      <w:pPr>
        <w:pStyle w:val="Normal"/>
        <w:widowControl/>
        <w:ind w:hanging="0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/>
      </w:r>
    </w:p>
    <w:p>
      <w:pPr>
        <w:pStyle w:val="ListParagraph"/>
        <w:spacing w:before="0" w:after="0"/>
        <w:ind w:hanging="0" w:left="0"/>
        <w:contextualSpacing w:val="false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</w:r>
    </w:p>
    <w:p>
      <w:pPr>
        <w:pStyle w:val="ListParagraph"/>
        <w:spacing w:before="0" w:after="0"/>
        <w:ind w:hanging="0" w:left="0"/>
        <w:contextualSpacing w:val="false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РИСКИ И ПУТИ РЕШЕНИЯ</w:t>
      </w:r>
    </w:p>
    <w:p>
      <w:pPr>
        <w:pStyle w:val="Normal"/>
        <w:ind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ind w:firstLine="567" w:left="-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1. Риск дефицита площади при крупных заказах</w:t>
      </w:r>
    </w:p>
    <w:p>
      <w:pPr>
        <w:pStyle w:val="ListParagraph"/>
        <w:ind w:firstLine="567" w:left="-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Дополнительные 5 квадратных метров площади (по сравнению со стандартным гаражом) значительно облегчают маневренность, однако при одновременной сборке лофт-мебели и сварке больших секций заборов пространство может загромождаться.</w:t>
      </w:r>
    </w:p>
    <w:p>
      <w:pPr>
        <w:pStyle w:val="ListParagraph"/>
        <w:numPr>
          <w:ilvl w:val="0"/>
          <w:numId w:val="4"/>
        </w:numPr>
        <w:ind w:firstLine="567" w:left="-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Способ минимизации: внедряется строгое пооперационное планирование. Сначала выполняется весь цикл раскроя и сварки металла для партии изделий, затем помещение убирается, и запускается чистый малярный цикл. Все верстаки и стойки делаются мобильными (на колесах со стопорами). Сборка выездных металлоконструкций осуществляется посегментно, с немедленным вывозом на объект к заказчику. Через 12 месяцев планируется переезд в полноценный цех площадью от 100 кв. м.</w:t>
      </w:r>
    </w:p>
    <w:p>
      <w:pPr>
        <w:pStyle w:val="ListParagraph"/>
        <w:ind w:firstLine="567" w:left="-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ind w:firstLine="567" w:left="-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2. Риск претензий со стороны руководства ГСК, пожарного надзора и соседей</w:t>
      </w:r>
    </w:p>
    <w:p>
      <w:pPr>
        <w:pStyle w:val="ListParagraph"/>
        <w:ind w:firstLine="567" w:left="-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Шум от работы отрезного оборудования и запах лакокрасочных материалов могут вызвать дискомфорт у окружающих.</w:t>
      </w:r>
    </w:p>
    <w:p>
      <w:pPr>
        <w:pStyle w:val="ListParagraph"/>
        <w:numPr>
          <w:ilvl w:val="0"/>
          <w:numId w:val="5"/>
        </w:numPr>
        <w:ind w:firstLine="567" w:left="-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Способ минимизации: деятельность ведется полностью легально в форме ИП. Все шумные технологические процессы выполняются строго в разрешенное законом Кемеровской области время (с 9:00 до 22:00) при закрытых воротах. Помещение оснащается двумя сертифицированными огнетушителями (ОУ-5 и ОП-5), деревянные элементы стен обрабатываются огнебиозащитным составом. В производстве используются качественные масла на натуральной основе, не имеющие резкого токсичного запаха.</w:t>
      </w:r>
    </w:p>
    <w:p>
      <w:pPr>
        <w:pStyle w:val="ListParagraph"/>
        <w:ind w:hanging="0" w:left="-142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ind w:firstLine="567" w:left="-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3. Риск падения напряжения в сети и промерзания гаража зимой</w:t>
      </w:r>
    </w:p>
    <w:p>
      <w:pPr>
        <w:pStyle w:val="ListParagraph"/>
        <w:ind w:firstLine="567" w:left="-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зимний период в гаражных кооперативах часто падает напряжение, что срывает работу инверторов. Низкая температура также нарушает технологию сушки лака и клея.</w:t>
      </w:r>
    </w:p>
    <w:p>
      <w:pPr>
        <w:pStyle w:val="ListParagraph"/>
        <w:numPr>
          <w:ilvl w:val="0"/>
          <w:numId w:val="6"/>
        </w:numPr>
        <w:ind w:firstLine="567" w:left="-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Способ минимизации: в гараже монтируется новая медная проводка (кабель ВВГнг 3х4) с индивидуальным контуром заземления. При критических просадках сети в ГСК задействуется автономный бензогенератор на 6.5 кВт, заложенный в смете. Ворота гаража утепляются пеноплексом и закрываются плотным брезентовым пологом. Для поддержания стабильной температуры (+18°C) в зимнее время устанавливается дизельная тепловая пушка непрямого нагрева с выводом выхлопных газов на улицу.</w:t>
      </w:r>
    </w:p>
    <w:p>
      <w:pPr>
        <w:pStyle w:val="ListParagraph"/>
        <w:ind w:hanging="0" w:left="-142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ind w:firstLine="567" w:left="-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4. Риск удорожания сырья и высокой конкуренции на Авито</w:t>
      </w:r>
    </w:p>
    <w:p>
      <w:pPr>
        <w:pStyle w:val="ListParagraph"/>
        <w:ind w:firstLine="567" w:left="-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Рост цен на металл и дерево снижает маржинальность, а обилие частных объявлений усложняет поиск клиентов.</w:t>
      </w:r>
    </w:p>
    <w:p>
      <w:pPr>
        <w:pStyle w:val="ListParagraph"/>
        <w:numPr>
          <w:ilvl w:val="0"/>
          <w:numId w:val="7"/>
        </w:numPr>
        <w:ind w:firstLine="567" w:left="-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Способ минимизации: заключаются партнерские соглашения с крупными металлобазами для закупки профиля по оптовому прайсу. Закупка деревянных щитов переносится на прямых производителей Алтайского края и Кузбасса. Для отстройки от конкурентов используется статус ветерана СВО как гарантия жесткой дисциплины, честности и соблюдения сроков. Создается уникальное торговое предложение: бесплатный выезд на замер в день обращения и расчет сметы за 2 часа.</w:t>
      </w:r>
    </w:p>
    <w:p>
      <w:pPr>
        <w:pStyle w:val="ListParagraph"/>
        <w:ind w:hanging="0" w:left="-142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20" w:left="-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ind w:firstLine="567" w:left="-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5. Угроза падения количества заказов (Кассовый разрыв)</w:t>
      </w:r>
    </w:p>
    <w:p>
      <w:pPr>
        <w:pStyle w:val="Normal"/>
        <w:ind w:firstLine="720" w:left="-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Спрос на уличные металлоконструкции (заборы, навесы, ворота) имеет ярко выраженную сезонность с пиком с мая по октябрь и резким спадом в зимний период. Падение общего числа заказов в январе-феврале может привести к невозможности покрывать текущие расходы (налоги, коммунальные платежи ГСМ) и снижению личного дохода предпринимателя.</w:t>
      </w:r>
    </w:p>
    <w:p>
      <w:pPr>
        <w:pStyle w:val="Normal"/>
        <w:numPr>
          <w:ilvl w:val="0"/>
          <w:numId w:val="11"/>
        </w:numPr>
        <w:ind w:hanging="360" w:left="-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Пути решения и превентивные меры:</w:t>
      </w:r>
    </w:p>
    <w:p>
      <w:pPr>
        <w:pStyle w:val="Normal"/>
        <w:numPr>
          <w:ilvl w:val="1"/>
          <w:numId w:val="11"/>
        </w:numPr>
        <w:ind w:hanging="360" w:left="-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Диверсификация ассортимента:</w:t>
      </w:r>
      <w:r>
        <w:rPr>
          <w:rFonts w:cs="Times New Roman" w:ascii="Times New Roman" w:hAnsi="Times New Roman"/>
          <w:sz w:val="28"/>
          <w:szCs w:val="28"/>
        </w:rPr>
        <w:t xml:space="preserve"> В зимний период фокус производства полностью смещается на всесезонные интерьерные изделия (столы, стеллажи, барные стулья, прихожие) и мелкий деревянно-металлический декор (винные полки, подсвечники, часы).</w:t>
      </w:r>
    </w:p>
    <w:p>
      <w:pPr>
        <w:pStyle w:val="Normal"/>
        <w:numPr>
          <w:ilvl w:val="1"/>
          <w:numId w:val="11"/>
        </w:numPr>
        <w:ind w:hanging="360" w:left="-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Работа с коммерческим сектором (B2B):</w:t>
      </w:r>
      <w:r>
        <w:rPr>
          <w:rFonts w:cs="Times New Roman" w:ascii="Times New Roman" w:hAnsi="Times New Roman"/>
          <w:sz w:val="28"/>
          <w:szCs w:val="28"/>
        </w:rPr>
        <w:t xml:space="preserve"> Зима — традиционное время обновления интерьеров, ремонта и подготовки к весеннему сезону у кафе, ресторанов, баров и бьюти-студий Кемеровской области -Кузбасса. В этот период запускается активное прямое предложение услуг меблировки для бизнеса.</w:t>
      </w:r>
    </w:p>
    <w:p>
      <w:pPr>
        <w:pStyle w:val="Normal"/>
        <w:numPr>
          <w:ilvl w:val="1"/>
          <w:numId w:val="11"/>
        </w:numPr>
        <w:ind w:hanging="360" w:left="-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Выход на маркетплейсы:</w:t>
      </w:r>
      <w:r>
        <w:rPr>
          <w:rFonts w:cs="Times New Roman" w:ascii="Times New Roman" w:hAnsi="Times New Roman"/>
          <w:sz w:val="28"/>
          <w:szCs w:val="28"/>
        </w:rPr>
        <w:t xml:space="preserve"> Запуск продаж мелких серийных лофт-товаров на Ozon и Wildberries обеспечивает стабильный круглогодичный поток заказов со всей России, независимый от локального спроса в Кемеровской области.</w:t>
      </w:r>
    </w:p>
    <w:p>
      <w:pPr>
        <w:pStyle w:val="Normal"/>
        <w:numPr>
          <w:ilvl w:val="1"/>
          <w:numId w:val="11"/>
        </w:numPr>
        <w:ind w:hanging="360" w:left="-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Формирование финансовой подушки:</w:t>
      </w:r>
      <w:r>
        <w:rPr>
          <w:rFonts w:cs="Times New Roman" w:ascii="Times New Roman" w:hAnsi="Times New Roman"/>
          <w:sz w:val="28"/>
          <w:szCs w:val="28"/>
        </w:rPr>
        <w:t xml:space="preserve"> Чистая прибыль, полученная в пиковые летние месяцы (до 170–190 тыс. руб. в месяц), частично резервируется для обеспечения безубыточности в зимние месяцы.</w:t>
      </w:r>
    </w:p>
    <w:p>
      <w:pPr>
        <w:pStyle w:val="Normal"/>
        <w:ind w:hanging="0" w:left="-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ind w:firstLine="567" w:left="-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6. Угроза избыточного количества заказов (Перегрузка производства)</w:t>
      </w:r>
    </w:p>
    <w:p>
      <w:pPr>
        <w:pStyle w:val="Normal"/>
        <w:ind w:firstLine="720" w:left="-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Высокий отклик от рекламы, эффективное сарафанное радио или получение крупного контракта (например, на полную меблировку ресторана) могут создать объем работы, превышающий физические возможности одного мастера и полезную площадь гаража 35 кв. м. Это чревато срывом сроков по договорам, падением качества из-за спешки, выгоранием предпринимателя и потерей репутации.</w:t>
      </w:r>
    </w:p>
    <w:p>
      <w:pPr>
        <w:pStyle w:val="Normal"/>
        <w:numPr>
          <w:ilvl w:val="0"/>
          <w:numId w:val="12"/>
        </w:numPr>
        <w:ind w:hanging="360" w:left="-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Пути решения и превентивные меры:</w:t>
      </w:r>
    </w:p>
    <w:p>
      <w:pPr>
        <w:pStyle w:val="Normal"/>
        <w:numPr>
          <w:ilvl w:val="1"/>
          <w:numId w:val="12"/>
        </w:numPr>
        <w:ind w:hanging="360" w:left="-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Управление входящим потоком (Квотирование):</w:t>
      </w:r>
      <w:r>
        <w:rPr>
          <w:rFonts w:cs="Times New Roman" w:ascii="Times New Roman" w:hAnsi="Times New Roman"/>
          <w:sz w:val="28"/>
          <w:szCs w:val="28"/>
        </w:rPr>
        <w:t xml:space="preserve"> при заполнении производственного календаря на 1.5–2 месяца вперед, новым клиентам открыто предлагается запись в очередь на фиксированную дату со скидкой 5–7% за ожидание.</w:t>
      </w:r>
    </w:p>
    <w:p>
      <w:pPr>
        <w:pStyle w:val="Normal"/>
        <w:numPr>
          <w:ilvl w:val="1"/>
          <w:numId w:val="12"/>
        </w:numPr>
        <w:ind w:hanging="360" w:left="-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Повышение стоимости (Фильтр цены):</w:t>
      </w:r>
      <w:r>
        <w:rPr>
          <w:rFonts w:cs="Times New Roman" w:ascii="Times New Roman" w:hAnsi="Times New Roman"/>
          <w:sz w:val="28"/>
          <w:szCs w:val="28"/>
        </w:rPr>
        <w:t xml:space="preserve"> при стабильном избытке спроса планомерно поднимается стоимость индивидуальных изделий на 10–15%. Это позволяет снизить физическую нагрузку, сохранив общую чистую прибыль на прежнем уровне за счет роста маржинальности.</w:t>
      </w:r>
    </w:p>
    <w:p>
      <w:pPr>
        <w:pStyle w:val="Normal"/>
        <w:numPr>
          <w:ilvl w:val="1"/>
          <w:numId w:val="12"/>
        </w:numPr>
        <w:ind w:hanging="360" w:left="-709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Аутсорсинг рутинных процессов:</w:t>
      </w:r>
      <w:r>
        <w:rPr>
          <w:rFonts w:cs="Times New Roman" w:ascii="Times New Roman" w:hAnsi="Times New Roman"/>
          <w:sz w:val="28"/>
          <w:szCs w:val="28"/>
        </w:rPr>
        <w:t xml:space="preserve"> Часть простых подготовительных работ (например, закупка и доставка металла, базовая распиловка профиля на металлобазе по чертежам, первичная шлифовка щитов) делегируется сторонним исполнителям или заказывается напрямую у поставщиков, что освобождает время для чистовой сварки и сборки.</w:t>
      </w:r>
    </w:p>
    <w:p>
      <w:pPr>
        <w:pStyle w:val="Normal"/>
        <w:ind w:hanging="0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p>
      <w:pPr>
        <w:pStyle w:val="ListParagraph"/>
        <w:ind w:hanging="0" w:left="-142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РИСКИ ПО НАПРАВЛЕНИЮ 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</w:rPr>
        <w:t>МЕТАЛЛОКОНСТРУКЦИЙ</w:t>
      </w:r>
    </w:p>
    <w:p>
      <w:pPr>
        <w:pStyle w:val="ListParagraph"/>
        <w:spacing w:before="0" w:after="0"/>
        <w:ind w:hanging="0" w:left="0"/>
        <w:contextualSpacing w:val="fals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360" w:leader="none"/>
        </w:tabs>
        <w:ind w:hanging="360" w:left="-284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Риск:</w:t>
      </w:r>
      <w:r>
        <w:rPr>
          <w:rFonts w:cs="Times New Roman" w:ascii="Times New Roman" w:hAnsi="Times New Roman"/>
          <w:sz w:val="28"/>
          <w:szCs w:val="28"/>
        </w:rPr>
        <w:t xml:space="preserve"> Травматизм при проведении выездных монтажных работ. </w:t>
      </w:r>
    </w:p>
    <w:p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Решение:</w:t>
      </w:r>
      <w:r>
        <w:rPr>
          <w:rFonts w:cs="Times New Roman" w:ascii="Times New Roman" w:hAnsi="Times New Roman"/>
          <w:sz w:val="28"/>
          <w:szCs w:val="28"/>
        </w:rPr>
        <w:t xml:space="preserve"> Неукоснительное соблюдение техники безопасности, работа в сертифицированных СИЗ, использование проверенного инструмента.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360" w:leader="none"/>
        </w:tabs>
        <w:ind w:hanging="360" w:left="-284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Риск:</w:t>
      </w:r>
      <w:r>
        <w:rPr>
          <w:rFonts w:cs="Times New Roman" w:ascii="Times New Roman" w:hAnsi="Times New Roman"/>
          <w:sz w:val="28"/>
          <w:szCs w:val="28"/>
        </w:rPr>
        <w:t xml:space="preserve"> Зависимость от погодных условий на выезде. </w:t>
      </w:r>
    </w:p>
    <w:p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Решение:</w:t>
      </w:r>
      <w:r>
        <w:rPr>
          <w:rFonts w:cs="Times New Roman" w:ascii="Times New Roman" w:hAnsi="Times New Roman"/>
          <w:sz w:val="28"/>
          <w:szCs w:val="28"/>
        </w:rPr>
        <w:t xml:space="preserve"> Проведение всех заготовительных работ и сварки узлов внутри гаража; планирование уличного монтажа строго по прогнозу погоды.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360" w:leader="none"/>
        </w:tabs>
        <w:ind w:hanging="360" w:left="-284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Риск:</w:t>
      </w:r>
      <w:r>
        <w:rPr>
          <w:rFonts w:cs="Times New Roman" w:ascii="Times New Roman" w:hAnsi="Times New Roman"/>
          <w:sz w:val="28"/>
          <w:szCs w:val="28"/>
        </w:rPr>
        <w:t xml:space="preserve"> Рост стоимости металла и древесины. </w:t>
      </w:r>
    </w:p>
    <w:p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Решение:</w:t>
      </w:r>
      <w:r>
        <w:rPr>
          <w:rFonts w:cs="Times New Roman" w:ascii="Times New Roman" w:hAnsi="Times New Roman"/>
          <w:sz w:val="28"/>
          <w:szCs w:val="28"/>
        </w:rPr>
        <w:t xml:space="preserve"> Закупка материалов на оптовых базах по оптовым ценам, минимизация отходов за счет компьютерного раскроя.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360" w:leader="none"/>
        </w:tabs>
        <w:ind w:hanging="360" w:left="-284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Риск:</w:t>
      </w:r>
      <w:r>
        <w:rPr>
          <w:rFonts w:cs="Times New Roman" w:ascii="Times New Roman" w:hAnsi="Times New Roman"/>
          <w:sz w:val="28"/>
          <w:szCs w:val="28"/>
        </w:rPr>
        <w:t xml:space="preserve"> Нехватка площади гаража при сборке крупных конструкций. </w:t>
      </w:r>
    </w:p>
    <w:p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Решение:</w:t>
      </w:r>
      <w:r>
        <w:rPr>
          <w:rFonts w:cs="Times New Roman" w:ascii="Times New Roman" w:hAnsi="Times New Roman"/>
          <w:sz w:val="28"/>
          <w:szCs w:val="28"/>
        </w:rPr>
        <w:t xml:space="preserve"> Посегментная сборка; вывоз элементов на объект сразу после изготовления. В перспективе — аренда цеха.</w:t>
      </w:r>
      <w:r>
        <w:br w:type="page"/>
      </w:r>
    </w:p>
    <w:p>
      <w:pPr>
        <w:pStyle w:val="Normal"/>
        <w:spacing w:before="0" w:after="0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p>
      <w:pPr>
        <w:pStyle w:val="ListParagraph"/>
        <w:spacing w:before="0" w:after="0"/>
        <w:ind w:hanging="0" w:left="0"/>
        <w:contextualSpacing w:val="fals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АНАЛИЗ КОНКУРЕНТОВ</w:t>
      </w:r>
    </w:p>
    <w:tbl>
      <w:tblPr>
        <w:tblStyle w:val="ab"/>
        <w:tblpPr w:vertAnchor="text" w:horzAnchor="page" w:leftFromText="180" w:rightFromText="180" w:tblpX="480" w:tblpY="197"/>
        <w:tblW w:w="1062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48"/>
        <w:gridCol w:w="2603"/>
        <w:gridCol w:w="1326"/>
        <w:gridCol w:w="2848"/>
        <w:gridCol w:w="3402"/>
      </w:tblGrid>
      <w:tr>
        <w:trPr/>
        <w:tc>
          <w:tcPr>
            <w:tcW w:w="448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№</w:t>
            </w:r>
          </w:p>
        </w:tc>
        <w:tc>
          <w:tcPr>
            <w:tcW w:w="2603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Название организации</w:t>
            </w:r>
          </w:p>
        </w:tc>
        <w:tc>
          <w:tcPr>
            <w:tcW w:w="1326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Стоимость услуг, руб.</w:t>
            </w:r>
          </w:p>
        </w:tc>
        <w:tc>
          <w:tcPr>
            <w:tcW w:w="2848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+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6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Arial" w:cs="Times New Roman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Крупный мебельный ритейл</w:t>
            </w: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 xml:space="preserve"> …</w:t>
            </w:r>
          </w:p>
        </w:tc>
        <w:tc>
          <w:tcPr>
            <w:tcW w:w="1326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Arial" w:hAnsi="Arial" w:eastAsia="Arial" w:cs="Arial"/>
                <w:kern w:val="0"/>
                <w:szCs w:val="24"/>
                <w:lang w:val="ru-RU" w:eastAsia="ru-RU" w:bidi="ar-SA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Низкая (от 3 000 до 12 000 за готовое изделие)</w:t>
            </w:r>
          </w:p>
        </w:tc>
        <w:tc>
          <w:tcPr>
            <w:tcW w:w="2848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Огромный ассортимент в наличии, быстрая покупка, низкие цены за счет массового потока.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Шаблонные размеры, хрупкие материалы (ДСП/МДФ вместо массива), полное отсутствие металлоконструкций и выездного монтажа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6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Arial" w:cs="Times New Roman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Профильная студия мебели …</w:t>
            </w:r>
          </w:p>
        </w:tc>
        <w:tc>
          <w:tcPr>
            <w:tcW w:w="1326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Arial" w:hAnsi="Arial" w:eastAsia="Arial" w:cs="Arial"/>
                <w:kern w:val="0"/>
                <w:szCs w:val="24"/>
                <w:lang w:val="ru-RU" w:eastAsia="ru-RU" w:bidi="ar-SA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Высокая (столы от 18 000, стеллажи от 15 000)</w:t>
            </w:r>
          </w:p>
        </w:tc>
        <w:tc>
          <w:tcPr>
            <w:tcW w:w="2848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Собственное оборудованное производство в черте города, качественная лазерная резка, наличие портфолио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Высокая наценка за бренд, длительные сроки изготовления (от 14 до 30 дней), неохотно берутся за мелкие выездные сварочные работы.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6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Arial" w:cs="Times New Roman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 xml:space="preserve">Частные мастера и выездные сварщики </w:t>
            </w:r>
            <w:r>
              <w:rPr>
                <w:rFonts w:eastAsia="Arial" w:cs="Times New Roman" w:ascii="Times New Roman" w:hAnsi="Times New Roman"/>
                <w:b/>
                <w:bCs/>
                <w:i/>
                <w:iCs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…</w:t>
            </w:r>
          </w:p>
        </w:tc>
        <w:tc>
          <w:tcPr>
            <w:tcW w:w="1326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Arial" w:hAnsi="Arial" w:eastAsia="Arial" w:cs="Arial"/>
                <w:kern w:val="0"/>
                <w:szCs w:val="24"/>
                <w:lang w:val="ru-RU" w:eastAsia="ru-RU" w:bidi="ar-SA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Средняя (сварка от 1 000/стык, монтаж от 5 000)</w:t>
            </w:r>
          </w:p>
        </w:tc>
        <w:tc>
          <w:tcPr>
            <w:tcW w:w="2848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Гибкие цены, работают на выезде по городу и району, берутся за любые объемы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Срывы сроков, отсутствие профессионального покрасочного оборудования (красят кистью), часто нет гаража/цеха для сложной сборки.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603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Arial" w:cs="Times New Roman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Региональные Loft-производители</w:t>
            </w: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Arial" w:cs="Times New Roman" w:ascii="Times New Roman" w:hAnsi="Times New Roman"/>
                <w:i/>
                <w:iCs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…</w:t>
            </w:r>
          </w:p>
        </w:tc>
        <w:tc>
          <w:tcPr>
            <w:tcW w:w="1326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Arial" w:hAnsi="Arial" w:eastAsia="Arial" w:cs="Arial"/>
                <w:kern w:val="0"/>
                <w:szCs w:val="24"/>
                <w:lang w:val="ru-RU" w:eastAsia="ru-RU" w:bidi="ar-SA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Высокая (от 20 000 за среднее изделие)</w:t>
            </w:r>
          </w:p>
        </w:tc>
        <w:tc>
          <w:tcPr>
            <w:tcW w:w="2848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Налаженное серийное производство, работа по договорам с НДС с крупными ресторанами и офисами (B2B).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Дорогая доставка готовой мебели, невозможность оперативно выехать на замер или монтаж металлоконструкций на объекте.</w:t>
            </w:r>
          </w:p>
        </w:tc>
      </w:tr>
      <w:tr>
        <w:trPr/>
        <w:tc>
          <w:tcPr>
            <w:tcW w:w="448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603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Arial" w:cs="Times New Roman" w:ascii="Times New Roman" w:hAnsi="Times New Roman"/>
                <w:b/>
                <w:bCs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Крупные заводы металлоконструкций и лофта</w:t>
            </w: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Arial" w:cs="Times New Roman" w:ascii="Times New Roman" w:hAnsi="Times New Roman"/>
                <w:i/>
                <w:iCs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…</w:t>
            </w:r>
          </w:p>
        </w:tc>
        <w:tc>
          <w:tcPr>
            <w:tcW w:w="1326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Fonts w:ascii="Arial" w:hAnsi="Arial" w:eastAsia="Arial" w:cs="Arial"/>
                <w:kern w:val="0"/>
                <w:szCs w:val="24"/>
                <w:lang w:val="ru-RU" w:eastAsia="ru-RU" w:bidi="ar-SA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Премиум (крупные заказы от 100 000)</w:t>
            </w:r>
          </w:p>
        </w:tc>
        <w:tc>
          <w:tcPr>
            <w:tcW w:w="2848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center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Мощное промышленное оборудование (станки ЧПУ, роботы-сварщики), идеальная геометрия серийных изделий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Spacing"/>
              <w:widowControl w:val="false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zCs w:val="24"/>
                <w:lang w:val="ru-RU" w:eastAsia="ru-RU" w:bidi="ar-SA"/>
              </w:rPr>
              <w:t>Работают только с огромными объемами, мелкие заказы или индивидуальный лофт для физлиц им экономически невыгодны. Высокая стоимость доставки.</w:t>
            </w:r>
          </w:p>
        </w:tc>
      </w:tr>
    </w:tbl>
    <w:p>
      <w:pPr>
        <w:pStyle w:val="NoSpacing"/>
        <w:ind w:firstLine="709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ind w:hanging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ФОТОГРАФИИ ОБОРУДОВАНИЯ С ЦЕНОЙ (СКРИНЫ)</w:t>
      </w:r>
    </w:p>
    <w:p>
      <w:pPr>
        <w:pStyle w:val="Normal"/>
        <w:ind w:hanging="0"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С ССЫЛКАМИ</w:t>
      </w:r>
    </w:p>
    <w:p>
      <w:pPr>
        <w:pStyle w:val="Normal"/>
        <w:ind w:hanging="0"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ind w:hanging="0"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ind w:hanging="0"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ind w:hanging="0"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ind w:hanging="0"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ind w:hanging="0"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ind w:hanging="0"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ind w:hanging="0"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ФОТО РАБОТ </w:t>
      </w:r>
    </w:p>
    <w:p>
      <w:pPr>
        <w:pStyle w:val="Normal"/>
        <w:ind w:hanging="0" w:left="-426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ind w:hanging="0"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ind w:hanging="0" w:left="-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before="0" w:after="33"/>
        <w:ind w:hanging="0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spacing w:before="0" w:after="33"/>
        <w:ind w:hanging="0"/>
        <w:jc w:val="right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  <w:t xml:space="preserve">Приложение  </w:t>
      </w:r>
    </w:p>
    <w:p>
      <w:pPr>
        <w:pStyle w:val="Normal"/>
        <w:ind w:firstLine="720" w:right="8"/>
        <w:jc w:val="center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ind w:firstLine="720" w:left="-567" w:right="8"/>
        <w:jc w:val="center"/>
        <w:rPr/>
      </w:pPr>
      <w:r>
        <w:rPr>
          <w:rFonts w:eastAsia="Times New Roman" w:cs="Times New Roman" w:ascii="Times New Roman" w:hAnsi="Times New Roman"/>
          <w:b/>
          <w:sz w:val="29"/>
        </w:rPr>
        <w:t xml:space="preserve">Плановые показатели на 12 месяцев </w:t>
      </w:r>
    </w:p>
    <w:p>
      <w:pPr>
        <w:pStyle w:val="Normal"/>
        <w:ind w:firstLine="720" w:left="52"/>
        <w:jc w:val="center"/>
        <w:rPr/>
      </w:pPr>
      <w:r>
        <w:rPr>
          <w:rFonts w:eastAsia="Times New Roman" w:cs="Times New Roman" w:ascii="Times New Roman" w:hAnsi="Times New Roman"/>
          <w:b/>
          <w:sz w:val="29"/>
        </w:rPr>
        <w:t xml:space="preserve"> </w:t>
      </w:r>
    </w:p>
    <w:tbl>
      <w:tblPr>
        <w:tblStyle w:val="TableGrid"/>
        <w:tblW w:w="10225" w:type="dxa"/>
        <w:jc w:val="left"/>
        <w:tblInd w:w="-1001" w:type="dxa"/>
        <w:tblLayout w:type="fixed"/>
        <w:tblCellMar>
          <w:top w:w="81" w:type="dxa"/>
          <w:left w:w="113" w:type="dxa"/>
          <w:bottom w:w="1" w:type="dxa"/>
          <w:right w:w="22" w:type="dxa"/>
        </w:tblCellMar>
        <w:tblLook w:val="04a0" w:noHBand="0" w:noVBand="1" w:firstColumn="1" w:lastRow="0" w:lastColumn="0" w:firstRow="1"/>
      </w:tblPr>
      <w:tblGrid>
        <w:gridCol w:w="1314"/>
        <w:gridCol w:w="2292"/>
        <w:gridCol w:w="2534"/>
        <w:gridCol w:w="2255"/>
        <w:gridCol w:w="1830"/>
      </w:tblGrid>
      <w:tr>
        <w:trPr>
          <w:trHeight w:val="1342" w:hRule="atLeast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 месяцам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Выручка от реализации продукции/услуг, тыс. руб.</w:t>
            </w: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Суммарные текущие расходы по проекту, тыс. руб.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Сумма налога: ИП 6%, тыс. руб.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Чистая прибыль за месяц, тыс. руб.</w:t>
            </w:r>
          </w:p>
        </w:tc>
      </w:tr>
      <w:tr>
        <w:trPr>
          <w:trHeight w:val="362" w:hRule="atLeast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trong"/>
                <w:rFonts w:eastAsia="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130</w:t>
            </w: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350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-220,00</w:t>
            </w:r>
          </w:p>
        </w:tc>
      </w:tr>
      <w:tr>
        <w:trPr>
          <w:trHeight w:val="314" w:hRule="atLeast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trong"/>
                <w:rFonts w:eastAsia="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190</w:t>
            </w: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78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-108,00</w:t>
            </w:r>
          </w:p>
        </w:tc>
      </w:tr>
      <w:tr>
        <w:trPr>
          <w:trHeight w:val="319" w:hRule="atLeast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trong"/>
                <w:rFonts w:eastAsia="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260</w:t>
            </w: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105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34,80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12,20</w:t>
            </w:r>
          </w:p>
        </w:tc>
      </w:tr>
      <w:tr>
        <w:trPr>
          <w:trHeight w:val="177" w:hRule="atLeast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trong"/>
                <w:rFonts w:eastAsia="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260</w:t>
            </w: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105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167,20</w:t>
            </w:r>
          </w:p>
        </w:tc>
      </w:tr>
      <w:tr>
        <w:trPr>
          <w:trHeight w:val="210" w:hRule="atLeast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trong"/>
                <w:rFonts w:eastAsia="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190</w:t>
            </w: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78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279,20</w:t>
            </w:r>
          </w:p>
        </w:tc>
      </w:tr>
      <w:tr>
        <w:trPr>
          <w:trHeight w:val="92" w:hRule="atLeast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trong"/>
                <w:rFonts w:eastAsia="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260</w:t>
            </w: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105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42,60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391,60</w:t>
            </w:r>
          </w:p>
        </w:tc>
      </w:tr>
      <w:tr>
        <w:trPr>
          <w:trHeight w:val="12" w:hRule="atLeast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trong"/>
                <w:rFonts w:eastAsia="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7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310</w:t>
            </w: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120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581,60</w:t>
            </w:r>
          </w:p>
        </w:tc>
      </w:tr>
      <w:tr>
        <w:trPr>
          <w:trHeight w:val="157" w:hRule="atLeast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trong"/>
                <w:rFonts w:eastAsia="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8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310</w:t>
            </w: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120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771,60</w:t>
            </w:r>
          </w:p>
        </w:tc>
      </w:tr>
      <w:tr>
        <w:trPr>
          <w:trHeight w:val="41" w:hRule="atLeast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trong"/>
                <w:rFonts w:eastAsia="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9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260</w:t>
            </w: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105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52,80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873,80</w:t>
            </w:r>
          </w:p>
        </w:tc>
      </w:tr>
      <w:tr>
        <w:trPr>
          <w:trHeight w:val="12" w:hRule="atLeast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trong"/>
                <w:rFonts w:eastAsia="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260</w:t>
            </w: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105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1028,80</w:t>
            </w:r>
          </w:p>
        </w:tc>
      </w:tr>
      <w:tr>
        <w:trPr>
          <w:trHeight w:val="106" w:hRule="atLeast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trong"/>
                <w:rFonts w:eastAsia="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11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190</w:t>
            </w: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74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1144,80</w:t>
            </w:r>
          </w:p>
        </w:tc>
      </w:tr>
      <w:tr>
        <w:trPr>
          <w:trHeight w:val="261" w:hRule="atLeast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trong"/>
                <w:rFonts w:eastAsia="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340</w:t>
            </w: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130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47,40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1307,40</w:t>
            </w:r>
          </w:p>
        </w:tc>
      </w:tr>
      <w:tr>
        <w:trPr>
          <w:trHeight w:val="485" w:hRule="atLeast"/>
        </w:trPr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15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ИТОГО за 12 мес.</w:t>
            </w:r>
          </w:p>
        </w:tc>
        <w:tc>
          <w:tcPr>
            <w:tcW w:w="2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2960,00</w:t>
            </w: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26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1475,00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3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177,60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8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1307,40</w:t>
            </w:r>
          </w:p>
        </w:tc>
      </w:tr>
    </w:tbl>
    <w:p>
      <w:pPr>
        <w:pStyle w:val="Normal"/>
        <w:ind w:hanging="0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Заявитель:                                         </w:t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Подпись</w:t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Дата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701" w:right="850" w:gutter="0" w:header="0" w:top="426" w:footer="708" w:bottom="765"/>
      <w:pgNumType w:start="1" w:fmt="decimal"/>
      <w:formProt w:val="false"/>
      <w:titlePg/>
      <w:textDirection w:val="lrTb"/>
      <w:docGrid w:type="default" w:linePitch="28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Georgia">
    <w:charset w:val="01"/>
    <w:family w:val="roman"/>
    <w:pitch w:val="default"/>
  </w:font>
  <w:font w:name="Times New Roman">
    <w:charset w:val="01"/>
    <w:family w:val="roman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677" w:leader="none"/>
        <w:tab w:val="right" w:pos="9355" w:leader="none"/>
      </w:tabs>
      <w:jc w:val="right"/>
      <w:rPr>
        <w:rFonts w:ascii="Times New Roman" w:hAnsi="Times New Roman" w:eastAsia="Times New Roman" w:cs="Times New Roman"/>
        <w:color w:val="000000"/>
        <w:sz w:val="24"/>
      </w:rPr>
    </w:pPr>
    <w:r>
      <w:rPr>
        <w:rFonts w:eastAsia="Times New Roman" w:cs="Times New Roman" w:ascii="Times New Roman" w:hAnsi="Times New Roman"/>
        <w:color w:val="000000"/>
        <w:sz w:val="24"/>
      </w:rPr>
      <w:fldChar w:fldCharType="begin"/>
    </w:r>
    <w:r>
      <w:rPr>
        <w:rFonts w:eastAsia="Times New Roman" w:cs="Times New Roman" w:ascii="Times New Roman" w:hAnsi="Times New Roman"/>
        <w:color w:val="000000"/>
        <w:sz w:val="24"/>
      </w:rPr>
      <w:instrText xml:space="preserve"> PAGE </w:instrText>
    </w:r>
    <w:r>
      <w:rPr>
        <w:rFonts w:eastAsia="Times New Roman" w:cs="Times New Roman" w:ascii="Times New Roman" w:hAnsi="Times New Roman"/>
        <w:color w:val="000000"/>
        <w:sz w:val="24"/>
      </w:rPr>
      <w:fldChar w:fldCharType="separate"/>
    </w:r>
    <w:r>
      <w:rPr>
        <w:rFonts w:eastAsia="Times New Roman" w:cs="Times New Roman" w:ascii="Times New Roman" w:hAnsi="Times New Roman"/>
        <w:color w:val="000000"/>
        <w:sz w:val="24"/>
      </w:rPr>
      <w:t>9</w:t>
    </w:r>
    <w:r>
      <w:rPr>
        <w:rFonts w:eastAsia="Times New Roman" w:cs="Times New Roman" w:ascii="Times New Roman" w:hAnsi="Times New Roman"/>
        <w:color w:val="000000"/>
        <w:sz w:val="24"/>
      </w:rPr>
      <w:fldChar w:fldCharType="end"/>
    </w:r>
  </w:p>
  <w:p>
    <w:pPr>
      <w:pStyle w:val="Normal"/>
      <w:tabs>
        <w:tab w:val="clear" w:pos="720"/>
        <w:tab w:val="center" w:pos="4677" w:leader="none"/>
        <w:tab w:val="right" w:pos="9355" w:leader="none"/>
      </w:tabs>
      <w:rPr>
        <w:color w:val="000000"/>
        <w:sz w:val="24"/>
      </w:rPr>
    </w:pPr>
    <w:r>
      <w:rPr>
        <w:color w:val="000000"/>
        <w:sz w:val="2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1.%1."/>
      <w:lvlJc w:val="left"/>
      <w:pPr>
        <w:tabs>
          <w:tab w:val="num" w:pos="0"/>
        </w:tabs>
        <w:ind w:left="4472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800"/>
      </w:pPr>
      <w:rPr>
        <w:sz w:val="22"/>
        <w:szCs w:val="22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436" w:hanging="360"/>
      </w:pPr>
      <w:rPr>
        <w:rFonts w:ascii="Symbol" w:hAnsi="Symbol" w:cs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7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9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3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5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96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436" w:hanging="360"/>
      </w:pPr>
      <w:rPr>
        <w:rFonts w:ascii="Symbol" w:hAnsi="Symbol" w:cs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7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9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3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5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96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false"/>
        <w:bCs w:val="false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79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b1435"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1"/>
      <w:szCs w:val="24"/>
      <w:lang w:val="ru-RU" w:eastAsia="ru-RU" w:bidi="ar-SA"/>
    </w:rPr>
  </w:style>
  <w:style w:type="paragraph" w:styleId="Heading1">
    <w:name w:val="heading 1"/>
    <w:basedOn w:val="1"/>
    <w:next w:val="1"/>
    <w:qFormat/>
    <w:rsid w:val="003b1435"/>
    <w:pPr>
      <w:keepNext w:val="true"/>
      <w:keepLines/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1"/>
    <w:next w:val="1"/>
    <w:qFormat/>
    <w:rsid w:val="003b1435"/>
    <w:pPr>
      <w:keepNext w:val="true"/>
      <w:keepLines/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1"/>
    <w:next w:val="1"/>
    <w:qFormat/>
    <w:rsid w:val="003b1435"/>
    <w:pPr>
      <w:keepNext w:val="true"/>
      <w:keepLines/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1"/>
    <w:next w:val="1"/>
    <w:qFormat/>
    <w:rsid w:val="003b1435"/>
    <w:pPr>
      <w:keepNext w:val="true"/>
      <w:keepLines/>
      <w:spacing w:before="240" w:after="40"/>
      <w:outlineLvl w:val="3"/>
    </w:pPr>
    <w:rPr>
      <w:b/>
      <w:color w:val="000000"/>
    </w:rPr>
  </w:style>
  <w:style w:type="paragraph" w:styleId="Heading5">
    <w:name w:val="heading 5"/>
    <w:basedOn w:val="1"/>
    <w:next w:val="1"/>
    <w:qFormat/>
    <w:rsid w:val="003b1435"/>
    <w:pPr>
      <w:keepNext w:val="true"/>
      <w:keepLines/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1"/>
    <w:next w:val="1"/>
    <w:qFormat/>
    <w:rsid w:val="003b1435"/>
    <w:pPr>
      <w:keepNext w:val="true"/>
      <w:keepLines/>
      <w:spacing w:before="200" w:after="40"/>
      <w:outlineLvl w:val="5"/>
    </w:pPr>
    <w:rPr>
      <w:b/>
      <w:color w:val="00000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Текст примечания Знак"/>
    <w:basedOn w:val="DefaultParagraphFont"/>
    <w:uiPriority w:val="99"/>
    <w:semiHidden/>
    <w:qFormat/>
    <w:rsid w:val="003b1435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3b1435"/>
    <w:rPr>
      <w:sz w:val="16"/>
      <w:szCs w:val="16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394fb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d74d17"/>
    <w:rPr>
      <w:b/>
      <w:bCs/>
    </w:rPr>
  </w:style>
  <w:style w:type="character" w:styleId="Hyperlink">
    <w:name w:val="Hyperlink"/>
    <w:basedOn w:val="DefaultParagraphFont"/>
    <w:uiPriority w:val="99"/>
    <w:unhideWhenUsed/>
    <w:rsid w:val="00603579"/>
    <w:rPr>
      <w:color w:themeColor="hyperlink"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603579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8e27f2"/>
    <w:rPr>
      <w:color w:themeColor="followedHyperlink" w:val="800080"/>
      <w:u w:val="single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1" w:customStyle="1">
    <w:name w:val="Обычный1"/>
    <w:qFormat/>
    <w:rsid w:val="003b1435"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4"/>
      <w:szCs w:val="24"/>
      <w:lang w:val="ru-RU" w:eastAsia="ru-RU" w:bidi="ar-SA"/>
    </w:rPr>
  </w:style>
  <w:style w:type="paragraph" w:styleId="Title">
    <w:name w:val="Title"/>
    <w:basedOn w:val="1"/>
    <w:next w:val="1"/>
    <w:qFormat/>
    <w:rsid w:val="003b1435"/>
    <w:pPr>
      <w:keepNext w:val="true"/>
      <w:keepLines/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1"/>
    <w:next w:val="1"/>
    <w:qFormat/>
    <w:rsid w:val="003b1435"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Style8"/>
    <w:uiPriority w:val="99"/>
    <w:semiHidden/>
    <w:unhideWhenUsed/>
    <w:rsid w:val="003b1435"/>
    <w:pPr/>
    <w:rPr>
      <w:sz w:val="20"/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394fb0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94fb0"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rsid w:val="00d74d17"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1"/>
      <w:szCs w:val="24"/>
      <w:lang w:val="ru-RU" w:eastAsia="ru-RU" w:bidi="ar-SA"/>
    </w:rPr>
  </w:style>
  <w:style w:type="paragraph" w:styleId="user2">
    <w:name w:val="Содержимое врезки (user)"/>
    <w:basedOn w:val="Normal"/>
    <w:qFormat/>
    <w:pPr/>
    <w:rPr/>
  </w:style>
  <w:style w:type="paragraph" w:styleId="Style12">
    <w:name w:val="Колонтитулы"/>
    <w:basedOn w:val="Normal"/>
    <w:qFormat/>
    <w:pPr/>
    <w:rPr/>
  </w:style>
  <w:style w:type="paragraph" w:styleId="Footer">
    <w:name w:val="footer"/>
    <w:basedOn w:val="Style12"/>
    <w:pPr/>
    <w:rPr/>
  </w:style>
  <w:style w:type="paragraph" w:styleId="Style13">
    <w:name w:val="Содержимое врезки"/>
    <w:basedOn w:val="Normal"/>
    <w:qFormat/>
    <w:pPr/>
    <w:rPr/>
  </w:style>
  <w:style w:type="numbering" w:styleId="user3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3b143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0">
    <w:name w:val="3"/>
    <w:basedOn w:val="TableNormal"/>
    <w:rsid w:val="003b143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"/>
    <w:basedOn w:val="TableNormal"/>
    <w:rsid w:val="003b143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"/>
    <w:basedOn w:val="TableNormal"/>
    <w:rsid w:val="003b143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TableGrid">
    <w:name w:val="TableGrid"/>
    <w:rsid w:val="00fb3290"/>
    <w:pPr>
      <w:jc w:val="left"/>
    </w:pPr>
    <w:rPr>
      <w:rFonts w:asciiTheme="minorHAnsi" w:hAnsiTheme="minorHAnsi" w:eastAsiaTheme="minorEastAsia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b">
    <w:name w:val="Table Grid"/>
    <w:basedOn w:val="a1"/>
    <w:uiPriority w:val="59"/>
    <w:rsid w:val="00d74d1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<Relationship Id="rId10" Type="http://schemas.openxmlformats.org/officeDocument/2006/relationships/customXml" Target="../customXml/item2.xml"/><Relationship Id="rId11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2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3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4413D0B4-EB19-4F1B-9EE5-718544BAE4EB}">
  <ds:schemaRefs>
    <ds:schemaRef ds:uri="http://www.wps.com/android/officeDocument/2013/mofficeCustomData"/>
  </ds:schemaRefs>
</ds:datastoreItem>
</file>

<file path=customXml/itemProps2.xml><?xml version="1.0" encoding="utf-8"?>
<ds:datastoreItem xmlns:ds="http://schemas.openxmlformats.org/officeDocument/2006/customXml" ds:itemID="{6CCF7A8D-1FDB-4B26-9658-CDABF31F047E}">
  <ds:schemaRefs>
    <ds:schemaRef ds:uri="http://www.wps.com/android/officeDocument/2013/mofficeCustomData"/>
  </ds:schemaRefs>
</ds:datastoreItem>
</file>

<file path=customXml/itemProps3.xml><?xml version="1.0" encoding="utf-8"?>
<ds:datastoreItem xmlns:ds="http://schemas.openxmlformats.org/officeDocument/2006/customXml" ds:itemID="{5B324D6F-EADD-4FC9-B41A-E76A2CCFF0CC}">
  <ds:schemaRefs>
    <ds:schemaRef ds:uri="http://www.wps.com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LibreOffice/25.8.4.2$Linux_X86_64 LibreOffice_project/580$Build-2</Application>
  <AppVersion>15.0000</AppVersion>
  <Pages>10</Pages>
  <Words>2340</Words>
  <Characters>15500</Characters>
  <CharactersWithSpaces>17620</CharactersWithSpaces>
  <Paragraphs>325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2026-10-12T08:30:00Z</dcterms:created>
  <dc:creator>WPS Office</dc:creator>
  <dc:description/>
  <dc:language>ru-RU</dc:language>
  <cp:lastModifiedBy/>
  <cp:lastPrinted>2026-07-13T11:10:00Z</cp:lastPrinted>
  <dcterms:modified xsi:type="dcterms:W3CDTF">2026-10-16T15:34:38Z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