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>«Прокат строительного инструмента и оборудования»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</w:t>
      </w:r>
      <w:r>
        <w:rPr>
          <w:rFonts w:eastAsia="Times New Roman" w:cs="Times New Roman" w:ascii="Times New Roman" w:hAnsi="Times New Roman"/>
          <w:sz w:val="28"/>
          <w:szCs w:val="28"/>
        </w:rPr>
        <w:t>существление индивидуальной предпринимательской деятельности (самозанятости)</w:t>
      </w:r>
      <w:r>
        <w:rPr>
          <w:rFonts w:eastAsia="Times New Roman" w:cs="Times New Roman" w:ascii="Times New Roman" w:hAnsi="Times New Roman"/>
          <w:sz w:val="29"/>
          <w:szCs w:val="29"/>
        </w:rPr>
        <w:t>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Разработчик: 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>Общая стоимость проекта:</w:t>
      </w:r>
      <w:r>
        <w:rPr/>
        <w:t xml:space="preserve"> </w:t>
      </w:r>
      <w:r>
        <w:rPr>
          <w:rFonts w:eastAsia="Times New Roman" w:cs="Times New Roman" w:ascii="Times New Roman" w:hAnsi="Times New Roman"/>
          <w:sz w:val="24"/>
        </w:rPr>
        <w:t>350 000 рублей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Собственные средства: 0 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>Финансовая помощь: 350 000 рублей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Срок окупаемости проекта: 6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firstLine="165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/>
      </w:pPr>
      <w:r>
        <w:rPr>
          <w:rFonts w:eastAsia="Times New Roman" w:cs="Times New Roman" w:ascii="Times New Roman" w:hAnsi="Times New Roman"/>
        </w:rPr>
        <w:t>г. __________________ 2026</w:t>
      </w:r>
    </w:p>
    <w:tbl>
      <w:tblPr>
        <w:tblStyle w:val="a7"/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209"/>
        <w:gridCol w:w="36"/>
        <w:gridCol w:w="1022"/>
        <w:gridCol w:w="992"/>
        <w:gridCol w:w="961"/>
        <w:gridCol w:w="1023"/>
        <w:gridCol w:w="964"/>
      </w:tblGrid>
      <w:tr>
        <w:trPr>
          <w:trHeight w:val="556" w:hRule="atLeast"/>
          <w:cantSplit w:val="true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I. СВЕДЕНИЯ О ЗАЯВИТЕЛЕ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Дата рождения, число полных лет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регистрации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Кемеровская область - Кузбасс</w:t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Контактный телефон, электронная почта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(в случае наличия описать)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2. Краткое описание проекта: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Цель проекта (производство, продажа, оказание услуг и пр.)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Оказание услуг предоставление строительного инструмента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Краткое описание процесса производства / оказания услуг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Предоставление в аренду профессионального инструмента и оборудования для широкого спектра строительных и производственных задач. Процесс обслуживания клиентов начинается с консультации, в ходе которой специалисты помогают подобрать оптимальное оборудование исходя из конкретных задач заказчика.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После согласования условий аренды клиент получает в пользование технически исправный и прошедший проверку инструмент. Перед выдачей каждая единица техники проходит обязательный технический осмотр и при необходимости техническое обслуживание, что гарантирует её безопасную и бесперебойную работу на объекте. По завершении аренды оборудование возвращается, проходит повторный контроль состояния и подготавливается к следующей выдаче. Такой подход позволяет обеспечивать клиентов надёжной техникой в любой момент и поддерживать высокий стандарт качества оказываемых услуг.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Вид экономической деятельности (ОКВЭД)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</w:rPr>
              <w:t>77.29: Прокат и аренда прочих предметов личного пользования и хозяйственно-бытового назначения</w:t>
            </w:r>
            <w:r>
              <w:rPr>
                <w:rFonts w:ascii="Times New Roman" w:hAnsi="Times New Roman"/>
                <w:color w:val="FF0000"/>
                <w:sz w:val="22"/>
              </w:rPr>
              <w:t>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Прокат: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Мозаично-шлифовальная машина Сплитстоун 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lang w:val="en-US"/>
              </w:rPr>
              <w:t>GM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-122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lang w:val="en-US"/>
              </w:rPr>
              <w:t>G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 цена 14 000 руб. сут – 3 раза.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Бензорез 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lang w:val="en-US"/>
              </w:rPr>
              <w:t>STIHL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lang w:val="en-US"/>
              </w:rPr>
              <w:t>TS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 xml:space="preserve"> 420 цена 10 000 руб. сут. – 3 раза.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География сбыта (отразить населенные пункты)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Кемеровская область - Кузбасс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Физические и в перспективе, юридические лица.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ведения деятельности (аренды помещения)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Кемеровская область - Кузбасс</w:t>
            </w:r>
          </w:p>
        </w:tc>
      </w:tr>
      <w:tr>
        <w:trPr>
          <w:trHeight w:val="383" w:hRule="atLeast"/>
          <w:cantSplit w:val="true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3. Сумма софинансирования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Собственные средства – 0 рублей (сбережения).</w:t>
            </w:r>
          </w:p>
        </w:tc>
      </w:tr>
      <w:tr>
        <w:trPr>
          <w:trHeight w:val="382" w:hRule="atLeast"/>
          <w:cantSplit w:val="true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Привлеченные источники – 350 000 рублей (социальный контракт на открытие собственного дела).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накоплено за полугодие и год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Финансовые показатели проекта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 мес.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 мес.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1070,00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Суммарные текущие расходы по проекту, тыс. руб.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570,00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 т.ч.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Х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на сырье и материалы при производстве продукции/услуг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(Франкфурт шлифовальный Сплитстоун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Standart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№ 00. 40-8-12. Свеча зажигания. Фильтор топливный. Масло. Свеча зажигания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NGK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BPMR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A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. Фильтр топливный (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TS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STIHL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00003521. Бак водяной напорный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DIAM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. Кольцо переходное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STIHL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25,4-20-9,5 мм.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STIHL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K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ME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350-20 мм цена.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DR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SCHULZE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Laser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AS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350-30-25,4. Масло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STIHL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  и прочее)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270,00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 на основные средства, оборудование и пр.: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0"/>
                <w:szCs w:val="20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0"/>
                <w:szCs w:val="20"/>
              </w:rPr>
              <w:t>300,00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0"/>
                <w:szCs w:val="20"/>
              </w:rPr>
              <w:t>300,00</w:t>
            </w:r>
          </w:p>
        </w:tc>
      </w:tr>
      <w:tr>
        <w:trPr>
          <w:trHeight w:val="108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Мозаично – шлифовальная машина Сплитстоун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GM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-122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150,00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150,00</w:t>
            </w:r>
          </w:p>
        </w:tc>
      </w:tr>
      <w:tr>
        <w:trPr>
          <w:trHeight w:val="108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/>
              </w:rPr>
              <w:t>Бензорез STIHL TS 420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150,00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</w:rPr>
              <w:t>150,00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Страховые взносы за себя (ИП) за 12 месяцев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65,09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Ставка налога:</w:t>
            </w:r>
          </w:p>
          <w:p>
            <w:pPr>
              <w:pStyle w:val="Normal"/>
              <w:widowControl/>
              <w:ind w:firstLine="317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ИП -УСН 6%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12,60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30,60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64,20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-290,00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-240,00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-192,60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29,40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370,71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Индивидуальный предприниматель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  <w:r>
        <w:br w:type="page"/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РИСКИ И ПУТИ РЕШЕНИЯ</w:t>
      </w:r>
    </w:p>
    <w:p>
      <w:pPr>
        <w:pStyle w:val="ListParagraph"/>
        <w:numPr>
          <w:ilvl w:val="0"/>
          <w:numId w:val="3"/>
        </w:numPr>
        <w:ind w:firstLine="720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Арендаторы нередко возвращают инструмент в неисправном состоянии, занижая степень повреждения или отрицая свою вину.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Способ решения: Фото- и видеофиксация состояния каждой единицы до выдачи и при возврате. Подробный акт приёма-передачи с описанием дефектов. Залог, покрывающий стоимость ремонта или замены. Чёткий пункт в договоре об ответственности за повреждения. </w:t>
      </w:r>
    </w:p>
    <w:p>
      <w:pPr>
        <w:pStyle w:val="ListParagraph"/>
        <w:numPr>
          <w:ilvl w:val="0"/>
          <w:numId w:val="3"/>
        </w:numPr>
        <w:ind w:firstLine="720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Утрата (кража, невозврат) инструмента. Клиент может не вернуть оборудование, сменить контакты или исчезнуть.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решения: Залог в размере полной рыночной стоимости инструмента. Копия паспорта арендатора. Договор аренды с указанием штрафных санкций. Для дорогого оборудования — GPS-маяки или трекеры.</w:t>
      </w:r>
    </w:p>
    <w:p>
      <w:pPr>
        <w:pStyle w:val="ListParagraph"/>
        <w:numPr>
          <w:ilvl w:val="0"/>
          <w:numId w:val="3"/>
        </w:numPr>
        <w:ind w:firstLine="720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Неплатёжеспособность клиентов / просрочка оплаты. Особенно актуально при работе с физлицами и мелкими бригадами.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решения: Предоплата или оплата при выдаче. Чёткие условия начисления пени за просрочку возврата. Ограничение кредитного лимита для новых клиентов.</w:t>
      </w:r>
    </w:p>
    <w:p>
      <w:pPr>
        <w:pStyle w:val="ListParagraph"/>
        <w:numPr>
          <w:ilvl w:val="0"/>
          <w:numId w:val="3"/>
        </w:numPr>
        <w:ind w:firstLine="720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Сезонность. Зимой спрос на многие инструменты резко падает.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решения: Диверсификация парка — зимний инвентарь (перфораторы для мёрзлого грунта, тепловые пушки, снегоуборщики). Гибкое ценообразование в низкий сезон. Создание финансовой подушки в высокий сезон.</w:t>
      </w:r>
    </w:p>
    <w:p>
      <w:pPr>
        <w:pStyle w:val="ListParagraph"/>
        <w:numPr>
          <w:ilvl w:val="0"/>
          <w:numId w:val="3"/>
        </w:numPr>
        <w:ind w:firstLine="720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Высокие затраты на обслуживание и ремонт. Инструмент, который работает у 10–15 клиентов подряд, изнашивается значительно быстрее.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решения: Регулярное техническое обслуживание по регламенту. Учёт моточасов или циклов использования. Своевременное списание и замена изношенного оборудования.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АНАЛИЗ КОНКУРЕНТОВ</w:t>
      </w:r>
    </w:p>
    <w:p>
      <w:pPr>
        <w:pStyle w:val="NoSpacing"/>
        <w:ind w:firstLine="709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e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"/>
        <w:gridCol w:w="1635"/>
        <w:gridCol w:w="2025"/>
        <w:gridCol w:w="3105"/>
        <w:gridCol w:w="2123"/>
      </w:tblGrid>
      <w:tr>
        <w:trPr/>
        <w:tc>
          <w:tcPr>
            <w:tcW w:w="4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Название организации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Стоимость услуг, руб.</w:t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4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1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Штроборез с пылесосом — от 800/сут., отбойный молоток — от 1 100/сут.</w:t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Рейтинг 5,0 (284 отзыва), доставка, без залога, проверенные реквизиты, статус «яПомогаю», широкий ассортимент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Высокая узнаваемость создаёт сильную конкуренцию для новых игроков</w:t>
            </w:r>
          </w:p>
        </w:tc>
      </w:tr>
      <w:tr>
        <w:trPr/>
        <w:tc>
          <w:tcPr>
            <w:tcW w:w="4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2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Тепловизор — от 800/сут., перфоратор — от 600/сут.; остальное — договорная цена</w:t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Рейтинг 5,0, без залога, бесплатное бронирование за 24 ч, индивидуальные условия для физ. и юр. лиц, ≥13 позиций ассортимента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Малое число отзывов (14), непрозрачное ценообразование</w:t>
            </w:r>
          </w:p>
        </w:tc>
      </w:tr>
      <w:tr>
        <w:trPr/>
        <w:tc>
          <w:tcPr>
            <w:tcW w:w="4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3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 500/сут., перфоратор — 900, болгарка УШМ — 500</w:t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Низкий порог входа по цене, без залога, закрывает Заводской район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Только 1 отзыв, минимальная репутационная история</w:t>
            </w:r>
          </w:p>
        </w:tc>
      </w:tr>
      <w:tr>
        <w:trPr/>
        <w:tc>
          <w:tcPr>
            <w:tcW w:w="4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4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Строительный пылесос — от 500/сут., шлифмашина-жираф — от 800/сут.</w:t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Рейтинг 4,9 (35 отзывов), статус «Надёжный исполнитель», чёткая нишевая специализация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Узкий ассортимент (финишная отделка), частное лицо — ограниченные гарантии</w:t>
            </w:r>
          </w:p>
        </w:tc>
      </w:tr>
      <w:tr>
        <w:trPr/>
        <w:tc>
          <w:tcPr>
            <w:tcW w:w="4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5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Вакуумный захват/присоска — от 2 500/сут.</w:t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Рейтинг 4,9 (10 отзывов), закрывает узкоспециализированный сегмент монтажных работ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Очень узкая специализация, высокая цена, малое число отзывов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 ССЫЛКАМИ</w:t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 </w:t>
      </w:r>
    </w:p>
    <w:tbl>
      <w:tblPr>
        <w:tblStyle w:val="TableGrid"/>
        <w:tblW w:w="9287" w:type="dxa"/>
        <w:jc w:val="left"/>
        <w:tblInd w:w="-8" w:type="dxa"/>
        <w:tblLayout w:type="fixed"/>
        <w:tblCellMar>
          <w:top w:w="81" w:type="dxa"/>
          <w:left w:w="113" w:type="dxa"/>
          <w:bottom w:w="1" w:type="dxa"/>
          <w:right w:w="22" w:type="dxa"/>
        </w:tblCellMar>
        <w:tblLook w:val="04a0" w:noHBand="0" w:noVBand="1" w:firstColumn="1" w:lastRow="0" w:lastColumn="0" w:firstRow="1"/>
      </w:tblPr>
      <w:tblGrid>
        <w:gridCol w:w="1157"/>
        <w:gridCol w:w="1976"/>
        <w:gridCol w:w="2360"/>
        <w:gridCol w:w="2186"/>
        <w:gridCol w:w="1608"/>
      </w:tblGrid>
      <w:tr>
        <w:trPr>
          <w:trHeight w:val="1200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месяцам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Выручка от реализации продукции/услуг, тыс. руб.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Суммарные текущие расходы по проекту,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тыс. руб.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 налога: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ИП -УСН 6%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Чистая прибыль,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тыс. руб.</w:t>
            </w:r>
          </w:p>
        </w:tc>
      </w:tr>
      <w:tr>
        <w:trPr>
          <w:trHeight w:val="32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60,00</w:t>
            </w:r>
          </w:p>
        </w:tc>
        <w:tc>
          <w:tcPr>
            <w:tcW w:w="2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350,00</w:t>
            </w:r>
          </w:p>
        </w:tc>
        <w:tc>
          <w:tcPr>
            <w:tcW w:w="21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-290,00</w:t>
            </w:r>
          </w:p>
        </w:tc>
      </w:tr>
      <w:tr>
        <w:trPr>
          <w:trHeight w:val="28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-240,00</w:t>
            </w:r>
          </w:p>
        </w:tc>
      </w:tr>
      <w:tr>
        <w:trPr>
          <w:trHeight w:val="286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12,60</w:t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-192,60</w:t>
            </w:r>
          </w:p>
        </w:tc>
      </w:tr>
      <w:tr>
        <w:trPr>
          <w:trHeight w:val="159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-122,60</w:t>
            </w:r>
          </w:p>
        </w:tc>
      </w:tr>
      <w:tr>
        <w:trPr>
          <w:trHeight w:val="188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-42,60</w:t>
            </w:r>
          </w:p>
        </w:tc>
      </w:tr>
      <w:tr>
        <w:trPr>
          <w:trHeight w:val="83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18,00</w:t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29,40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119,40</w:t>
            </w:r>
          </w:p>
        </w:tc>
      </w:tr>
      <w:tr>
        <w:trPr>
          <w:trHeight w:val="14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209,40</w:t>
            </w:r>
          </w:p>
        </w:tc>
      </w:tr>
      <w:tr>
        <w:trPr>
          <w:trHeight w:val="37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19,20</w:t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270,20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340,20</w:t>
            </w:r>
          </w:p>
        </w:tc>
      </w:tr>
      <w:tr>
        <w:trPr>
          <w:trHeight w:val="95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400,20</w:t>
            </w:r>
          </w:p>
        </w:tc>
      </w:tr>
      <w:tr>
        <w:trPr>
          <w:trHeight w:val="2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14,40</w:t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435,80</w:t>
            </w:r>
          </w:p>
        </w:tc>
      </w:tr>
      <w:tr>
        <w:trPr>
          <w:trHeight w:val="4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1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ИТОГО за 12 мес.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1070,00</w:t>
            </w:r>
          </w:p>
        </w:tc>
        <w:tc>
          <w:tcPr>
            <w:tcW w:w="23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570,00</w:t>
            </w:r>
          </w:p>
        </w:tc>
        <w:tc>
          <w:tcPr>
            <w:tcW w:w="2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64,20</w:t>
            </w:r>
          </w:p>
        </w:tc>
        <w:tc>
          <w:tcPr>
            <w:tcW w:w="16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8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435,80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Дата 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itlePg/>
      <w:textDirection w:val="lrTb"/>
      <w:docGrid w:type="default" w:linePitch="28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</w:rPr>
    </w:pPr>
    <w:r>
      <w:rPr>
        <w:rFonts w:eastAsia="Times New Roman" w:cs="Times New Roman" w:ascii="Times New Roman" w:hAnsi="Times New Roman"/>
        <w:color w:val="000000"/>
        <w:sz w:val="24"/>
      </w:rPr>
      <w:fldChar w:fldCharType="begin"/>
    </w:r>
    <w:r>
      <w:rPr>
        <w:rFonts w:eastAsia="Times New Roman" w:cs="Times New Roman" w:ascii="Times New Roman" w:hAnsi="Times New Roman"/>
        <w:color w:val="000000"/>
        <w:sz w:val="24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4"/>
      </w:rPr>
      <w:fldChar w:fldCharType="separate"/>
    </w:r>
    <w:r>
      <w:rPr>
        <w:rFonts w:eastAsia="Times New Roman" w:cs="Times New Roman" w:ascii="Times New Roman" w:hAnsi="Times New Roman"/>
        <w:color w:val="000000"/>
        <w:sz w:val="24"/>
      </w:rPr>
      <w:t>5</w:t>
    </w:r>
    <w:r>
      <w:rPr>
        <w:rFonts w:eastAsia="Times New Roman" w:cs="Times New Roman" w:ascii="Times New Roman" w:hAnsi="Times New Roman"/>
        <w:color w:val="000000"/>
        <w:sz w:val="24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</w:rPr>
    </w:pPr>
    <w:r>
      <w:rPr>
        <w:color w:val="000000"/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Heading1">
    <w:name w:val="heading 1"/>
    <w:basedOn w:val="11"/>
    <w:next w:val="11"/>
    <w:qFormat/>
    <w:rsid w:val="003b1435"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11"/>
    <w:next w:val="11"/>
    <w:qFormat/>
    <w:rsid w:val="003b1435"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11"/>
    <w:next w:val="11"/>
    <w:qFormat/>
    <w:rsid w:val="003b1435"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11"/>
    <w:next w:val="11"/>
    <w:qFormat/>
    <w:rsid w:val="003b1435"/>
    <w:pPr>
      <w:keepNext w:val="true"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11"/>
    <w:next w:val="11"/>
    <w:qFormat/>
    <w:rsid w:val="003b1435"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11"/>
    <w:next w:val="11"/>
    <w:qFormat/>
    <w:rsid w:val="003b1435"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basedOn w:val="DefaultParagraphFont"/>
    <w:uiPriority w:val="99"/>
    <w:unhideWhenUsed/>
    <w:rsid w:val="00e31ccf"/>
    <w:rPr>
      <w:color w:themeColor="hyperlink" w:val="0000FF"/>
      <w:u w:val="single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e31ccf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e31ccf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87901"/>
    <w:rPr>
      <w:color w:val="605E5C"/>
      <w:shd w:fill="E1DFDD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1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4"/>
      <w:szCs w:val="24"/>
      <w:lang w:val="ru-RU" w:eastAsia="ru-RU" w:bidi="ar-SA"/>
    </w:rPr>
  </w:style>
  <w:style w:type="paragraph" w:styleId="Title">
    <w:name w:val="Title"/>
    <w:basedOn w:val="11"/>
    <w:next w:val="11"/>
    <w:qFormat/>
    <w:rsid w:val="003b1435"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11"/>
    <w:next w:val="11"/>
    <w:qFormat/>
    <w:rsid w:val="003b1435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Style8"/>
    <w:uiPriority w:val="99"/>
    <w:semiHidden/>
    <w:unhideWhenUsed/>
    <w:rsid w:val="003b1435"/>
    <w:pPr/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394fb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4fb0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Style12">
    <w:name w:val="Колонтитулы"/>
    <w:basedOn w:val="Normal"/>
    <w:qFormat/>
    <w:pPr/>
    <w:rPr/>
  </w:style>
  <w:style w:type="paragraph" w:styleId="Footer">
    <w:name w:val="footer"/>
    <w:basedOn w:val="Style12"/>
    <w:pPr/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b3290"/>
    <w:pPr>
      <w:jc w:val="left"/>
    </w:pPr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6CCF7A8D-1FDB-4B26-9658-CDABF31F047E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5B324D6F-EADD-4FC9-B41A-E76A2CCFF0CC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413D0B4-EB19-4F1B-9EE5-718544BAE4EB}">
  <ds:schemaRefs>
    <ds:schemaRef ds:uri="http://www.wps.com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LibreOffice/25.8.4.2$Linux_X86_64 LibreOffice_project/580$Build-2</Application>
  <AppVersion>15.0000</AppVersion>
  <Pages>6</Pages>
  <Words>999</Words>
  <Characters>6587</Characters>
  <CharactersWithSpaces>7396</CharactersWithSpaces>
  <Paragraphs>249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2026-10-14T04:56:00Z</dcterms:created>
  <dc:creator>WPS Office</dc:creator>
  <dc:description/>
  <dc:language>ru-RU</dc:language>
  <cp:lastModifiedBy/>
  <cp:lastPrinted>2026-04-06T06:34:00Z</cp:lastPrinted>
  <dcterms:modified xsi:type="dcterms:W3CDTF">2026-10-16T15:35:26Z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