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_rels/fontTable.xml.rels" ContentType="application/vnd.openxmlformats-package.relationships+xml"/>
  <Override PartName="/word/_rels/footer2.xml.rels" ContentType="application/vnd.openxmlformats-package.relationships+xml"/>
  <Override PartName="/word/_rels/document.xml.rels" ContentType="application/vnd.openxmlformats-package.relationships+xml"/>
  <Override PartName="/word/media/image1.jpeg" ContentType="image/jpeg"/>
  <Override PartName="/word/fonts/font9.odttf" ContentType="application/vnd.openxmlformats-officedocument.obfuscatedFont"/>
  <Override PartName="/word/fonts/font15.odttf" ContentType="application/vnd.openxmlformats-officedocument.obfuscatedFont"/>
  <Override PartName="/word/fonts/font8.odttf" ContentType="application/vnd.openxmlformats-officedocument.obfuscatedFont"/>
  <Override PartName="/word/fonts/font14.odttf" ContentType="application/vnd.openxmlformats-officedocument.obfuscatedFont"/>
  <Override PartName="/word/fonts/font17.odttf" ContentType="application/vnd.openxmlformats-officedocument.obfuscatedFont"/>
  <Override PartName="/word/fonts/font16.odttf" ContentType="application/vnd.openxmlformats-officedocument.obfuscatedFont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10.odttf" ContentType="application/vnd.openxmlformats-officedocument.obfuscatedFont"/>
  <Override PartName="/word/fonts/font4.odttf" ContentType="application/vnd.openxmlformats-officedocument.obfuscatedFont"/>
  <Override PartName="/word/fonts/font7.odttf" ContentType="application/vnd.openxmlformats-officedocument.obfuscatedFont"/>
  <Override PartName="/word/fonts/font13.odttf" ContentType="application/vnd.openxmlformats-officedocument.obfuscatedFont"/>
  <Override PartName="/word/fonts/font11.odttf" ContentType="application/vnd.openxmlformats-officedocument.obfuscatedFont"/>
  <Override PartName="/word/fonts/font5.odttf" ContentType="application/vnd.openxmlformats-officedocument.obfuscatedFont"/>
  <Override PartName="/word/fonts/font12.odttf" ContentType="application/vnd.openxmlformats-officedocument.obfuscatedFont"/>
  <Override PartName="/word/fonts/font6.odttf" ContentType="application/vnd.openxmlformats-officedocument.obfuscatedFont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/>
        <w:jc w:val="center"/>
        <w:rPr>
          <w:rFonts w:ascii="Times New Roman" w:hAnsi="Times New Roman" w:eastAsia="Times New Roman" w:cs="Times New Roman"/>
          <w:sz w:val="29"/>
          <w:szCs w:val="29"/>
        </w:rPr>
      </w:pPr>
      <w:r>
        <w:rPr>
          <w:rFonts w:eastAsia="Times New Roman" w:cs="Times New Roman" w:ascii="Times New Roman" w:hAnsi="Times New Roman"/>
          <w:sz w:val="29"/>
          <w:szCs w:val="29"/>
        </w:rPr>
      </w:r>
    </w:p>
    <w:p>
      <w:pPr>
        <w:pStyle w:val="Normal"/>
        <w:ind w:hanging="0"/>
        <w:jc w:val="center"/>
        <w:rPr/>
      </w:pPr>
      <w:r>
        <w:rPr/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  <w:szCs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  <w:szCs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  <w:szCs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  <w:szCs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  <w:szCs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  <w:szCs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  <w:szCs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  <w:szCs w:val="29"/>
        </w:rPr>
        <w:t xml:space="preserve"> </w:t>
      </w:r>
    </w:p>
    <w:p>
      <w:pPr>
        <w:pStyle w:val="Normal"/>
        <w:ind w:hanging="0"/>
        <w:jc w:val="center"/>
        <w:rPr>
          <w:rFonts w:ascii="Times New Roman" w:hAnsi="Times New Roman" w:eastAsia="Times New Roman" w:cs="Times New Roman"/>
          <w:sz w:val="48"/>
          <w:szCs w:val="48"/>
        </w:rPr>
      </w:pPr>
      <w:r>
        <w:rPr>
          <w:rFonts w:eastAsia="Times New Roman" w:cs="Times New Roman" w:ascii="Times New Roman" w:hAnsi="Times New Roman"/>
          <w:sz w:val="48"/>
          <w:szCs w:val="48"/>
        </w:rPr>
        <w:t xml:space="preserve">Бизнес-план </w:t>
      </w:r>
    </w:p>
    <w:p>
      <w:pPr>
        <w:pStyle w:val="Normal"/>
        <w:ind w:hanging="0"/>
        <w:jc w:val="center"/>
        <w:rPr>
          <w:rFonts w:ascii="Times New Roman" w:hAnsi="Times New Roman" w:eastAsia="Times New Roman" w:cs="Times New Roman"/>
          <w:sz w:val="48"/>
          <w:szCs w:val="48"/>
        </w:rPr>
      </w:pPr>
      <w:r>
        <w:rPr>
          <w:rFonts w:eastAsia="Times New Roman" w:cs="Times New Roman" w:ascii="Times New Roman" w:hAnsi="Times New Roman"/>
          <w:sz w:val="48"/>
          <w:szCs w:val="48"/>
        </w:rPr>
      </w:r>
    </w:p>
    <w:p>
      <w:pPr>
        <w:pStyle w:val="Normal"/>
        <w:ind w:hanging="0"/>
        <w:jc w:val="center"/>
        <w:rPr>
          <w:rFonts w:ascii="Times New Roman" w:hAnsi="Times New Roman" w:eastAsia="Times New Roman" w:cs="Times New Roman"/>
          <w:sz w:val="48"/>
          <w:szCs w:val="48"/>
        </w:rPr>
      </w:pPr>
      <w:r>
        <w:rPr>
          <w:rFonts w:eastAsia="Times New Roman" w:cs="Times New Roman" w:ascii="Times New Roman" w:hAnsi="Times New Roman"/>
          <w:sz w:val="48"/>
          <w:szCs w:val="48"/>
        </w:rPr>
        <w:t>«Столярн</w:t>
      </w:r>
      <w:r>
        <w:rPr>
          <w:rFonts w:eastAsia="Times New Roman" w:cs="Times New Roman" w:ascii="Times New Roman" w:hAnsi="Times New Roman"/>
          <w:sz w:val="48"/>
          <w:szCs w:val="48"/>
          <w:lang w:val="ru-RU"/>
        </w:rPr>
        <w:t>ая</w:t>
      </w:r>
      <w:r>
        <w:rPr>
          <w:rFonts w:eastAsia="Times New Roman" w:cs="Times New Roman" w:ascii="Times New Roman" w:hAnsi="Times New Roman"/>
          <w:sz w:val="48"/>
          <w:szCs w:val="48"/>
        </w:rPr>
        <w:t xml:space="preserve"> мастерс</w:t>
      </w:r>
      <w:r>
        <w:rPr>
          <w:rFonts w:eastAsia="Times New Roman" w:cs="Times New Roman" w:ascii="Times New Roman" w:hAnsi="Times New Roman"/>
          <w:sz w:val="48"/>
          <w:szCs w:val="48"/>
          <w:lang w:val="ru-RU"/>
        </w:rPr>
        <w:t>кая</w:t>
      </w:r>
      <w:r>
        <w:rPr>
          <w:rFonts w:eastAsia="Times New Roman" w:cs="Times New Roman" w:ascii="Times New Roman" w:hAnsi="Times New Roman"/>
          <w:sz w:val="48"/>
          <w:szCs w:val="48"/>
        </w:rPr>
        <w:t>»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48"/>
          <w:szCs w:val="48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48"/>
          <w:szCs w:val="48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48"/>
          <w:szCs w:val="48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48"/>
          <w:szCs w:val="48"/>
        </w:rPr>
        <w:t xml:space="preserve"> </w:t>
      </w:r>
    </w:p>
    <w:p>
      <w:pPr>
        <w:pStyle w:val="Normal"/>
        <w:ind w:hanging="0"/>
        <w:jc w:val="center"/>
        <w:rPr>
          <w:rFonts w:ascii="Times New Roman" w:hAnsi="Times New Roman" w:eastAsia="Times New Roman" w:cs="Times New Roman"/>
          <w:sz w:val="29"/>
          <w:szCs w:val="29"/>
        </w:rPr>
      </w:pPr>
      <w:r>
        <w:rPr>
          <w:rFonts w:eastAsia="Times New Roman" w:cs="Times New Roman" w:ascii="Times New Roman" w:hAnsi="Times New Roman"/>
          <w:sz w:val="29"/>
          <w:szCs w:val="29"/>
        </w:rPr>
        <w:t xml:space="preserve">Данный бизнес-план подготовлен в рамках заключения </w:t>
      </w:r>
    </w:p>
    <w:p>
      <w:pPr>
        <w:pStyle w:val="Normal"/>
        <w:ind w:hanging="0"/>
        <w:jc w:val="center"/>
        <w:rPr>
          <w:rFonts w:ascii="Times New Roman" w:hAnsi="Times New Roman" w:eastAsia="Times New Roman" w:cs="Times New Roman"/>
          <w:sz w:val="29"/>
          <w:szCs w:val="29"/>
        </w:rPr>
      </w:pPr>
      <w:r>
        <w:rPr>
          <w:rFonts w:eastAsia="Times New Roman" w:cs="Times New Roman" w:ascii="Times New Roman" w:hAnsi="Times New Roman"/>
          <w:sz w:val="29"/>
          <w:szCs w:val="29"/>
        </w:rPr>
        <w:t>социального контракта по мероприятию «Осуществление индивидуальной предпринимательской деятельности (самозанятости)»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ind w:firstLine="720" w:left="721"/>
        <w:jc w:val="center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ind w:firstLine="720" w:left="721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ind w:firstLine="720" w:left="721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ind w:firstLine="720" w:left="721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ind w:firstLine="720" w:left="721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ind w:firstLine="720" w:left="721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ind w:firstLine="720" w:left="721"/>
        <w:jc w:val="center"/>
        <w:rPr/>
      </w:pPr>
      <w:r>
        <w:rPr/>
      </w:r>
    </w:p>
    <w:p>
      <w:pPr>
        <w:pStyle w:val="Normal"/>
        <w:ind w:firstLine="720" w:left="721"/>
        <w:jc w:val="center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ind w:firstLine="720" w:left="721"/>
        <w:jc w:val="center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ind w:firstLine="720" w:left="721"/>
        <w:jc w:val="center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ind w:firstLine="720" w:left="721"/>
        <w:jc w:val="center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spacing w:before="0" w:after="17"/>
        <w:ind w:firstLine="720" w:left="721"/>
        <w:jc w:val="center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ind w:hanging="10" w:left="10" w:right="54"/>
        <w:jc w:val="right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Разработчик: </w:t>
      </w:r>
    </w:p>
    <w:p>
      <w:pPr>
        <w:pStyle w:val="Normal"/>
        <w:spacing w:lineRule="auto" w:line="266" w:before="0" w:after="8"/>
        <w:ind w:hanging="10" w:left="4651" w:right="54"/>
        <w:jc w:val="right"/>
        <w:rPr>
          <w:lang w:val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Общая стоимость проекта: </w:t>
      </w:r>
      <w:r>
        <w:rPr>
          <w:rFonts w:eastAsia="Times New Roman" w:cs="Times New Roman" w:ascii="Times New Roman" w:hAnsi="Times New Roman"/>
          <w:sz w:val="24"/>
          <w:szCs w:val="24"/>
          <w:lang w:val="ru-RU"/>
        </w:rPr>
        <w:t xml:space="preserve">351 320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рублей </w:t>
      </w:r>
    </w:p>
    <w:p>
      <w:pPr>
        <w:pStyle w:val="Normal"/>
        <w:ind w:hanging="10" w:left="10" w:right="54"/>
        <w:jc w:val="right"/>
        <w:rPr>
          <w:lang w:val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Собственные средства: </w:t>
      </w:r>
      <w:r>
        <w:rPr>
          <w:rFonts w:eastAsia="Times New Roman" w:cs="Times New Roman" w:ascii="Times New Roman" w:hAnsi="Times New Roman"/>
          <w:sz w:val="24"/>
          <w:szCs w:val="24"/>
          <w:lang w:val="ru-RU"/>
        </w:rPr>
        <w:t xml:space="preserve">1 320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рублей </w:t>
      </w:r>
    </w:p>
    <w:p>
      <w:pPr>
        <w:pStyle w:val="Normal"/>
        <w:spacing w:before="0" w:after="29"/>
        <w:ind w:hanging="10" w:left="10" w:right="54"/>
        <w:jc w:val="right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Финансовая помощь: 350 000 рублей </w:t>
      </w:r>
    </w:p>
    <w:p>
      <w:pPr>
        <w:pStyle w:val="Normal"/>
        <w:ind w:hanging="10" w:left="10" w:right="54"/>
        <w:jc w:val="right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 окупаемости проекта: 8 месяцев </w:t>
      </w:r>
    </w:p>
    <w:p>
      <w:pPr>
        <w:pStyle w:val="Normal"/>
        <w:jc w:val="right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jc w:val="right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/>
      </w:pPr>
      <w:r>
        <w:rPr/>
      </w:r>
    </w:p>
    <w:p>
      <w:pPr>
        <w:pStyle w:val="Normal"/>
        <w:spacing w:lineRule="auto" w:line="278"/>
        <w:ind w:hanging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Бизнес-план является собственностью автора, запрещается использовать в нарушение соответствующих положений действующего законодательства по защите авторских прав.</w:t>
      </w:r>
    </w:p>
    <w:p>
      <w:pPr>
        <w:pStyle w:val="Normal"/>
        <w:spacing w:lineRule="auto" w:line="278"/>
        <w:ind w:hanging="0"/>
        <w:jc w:val="center"/>
        <w:rPr/>
      </w:pPr>
      <w:r>
        <w:rPr>
          <w:rFonts w:eastAsia="Times New Roman" w:cs="Times New Roman" w:ascii="Times New Roman" w:hAnsi="Times New Roman"/>
        </w:rPr>
        <w:t>город,         2026</w:t>
      </w:r>
    </w:p>
    <w:tbl>
      <w:tblPr>
        <w:tblStyle w:val="af9"/>
        <w:tblW w:w="10207" w:type="dxa"/>
        <w:jc w:val="left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noHBand="0" w:noVBand="1" w:firstColumn="0" w:lastRow="0" w:lastColumn="0" w:firstRow="0"/>
      </w:tblPr>
      <w:tblGrid>
        <w:gridCol w:w="5204"/>
        <w:gridCol w:w="41"/>
        <w:gridCol w:w="992"/>
        <w:gridCol w:w="988"/>
        <w:gridCol w:w="990"/>
        <w:gridCol w:w="1028"/>
        <w:gridCol w:w="963"/>
      </w:tblGrid>
      <w:tr>
        <w:trPr>
          <w:trHeight w:val="144" w:hRule="atLeast"/>
          <w:cantSplit w:val="true"/>
        </w:trPr>
        <w:tc>
          <w:tcPr>
            <w:tcW w:w="102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I. СВЕДЕНИЯ О ЗАЯВИТЕЛЕ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144" w:hRule="atLeast"/>
          <w:cantSplit w:val="true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20"/>
                <w:tab w:val="left" w:pos="480" w:leader="none"/>
              </w:tabs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ФИО</w:t>
            </w:r>
          </w:p>
        </w:tc>
        <w:tc>
          <w:tcPr>
            <w:tcW w:w="50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144" w:hRule="atLeast"/>
          <w:cantSplit w:val="true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20"/>
                <w:tab w:val="left" w:pos="480" w:leader="none"/>
              </w:tabs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Дата рождения, число полных лет</w:t>
            </w:r>
          </w:p>
        </w:tc>
        <w:tc>
          <w:tcPr>
            <w:tcW w:w="50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144" w:hRule="atLeast"/>
          <w:cantSplit w:val="true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20"/>
                <w:tab w:val="left" w:pos="480" w:leader="none"/>
              </w:tabs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Адрес регистрации</w:t>
            </w:r>
          </w:p>
        </w:tc>
        <w:tc>
          <w:tcPr>
            <w:tcW w:w="50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144" w:hRule="atLeast"/>
          <w:cantSplit w:val="true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20"/>
                <w:tab w:val="left" w:pos="480" w:leader="none"/>
              </w:tabs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Контактный телефон, электронная почта</w:t>
            </w:r>
          </w:p>
        </w:tc>
        <w:tc>
          <w:tcPr>
            <w:tcW w:w="50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144" w:hRule="atLeast"/>
          <w:cantSplit w:val="true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20"/>
                <w:tab w:val="left" w:pos="480" w:leader="none"/>
              </w:tabs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Опыт осуществления предпринимательской деятельности (имею/не имею)</w:t>
            </w:r>
          </w:p>
          <w:p>
            <w:pPr>
              <w:pStyle w:val="Normal"/>
              <w:widowControl/>
              <w:tabs>
                <w:tab w:val="clear" w:pos="720"/>
                <w:tab w:val="left" w:pos="480" w:leader="none"/>
              </w:tabs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(в случае наличия описать)</w:t>
            </w:r>
          </w:p>
        </w:tc>
        <w:tc>
          <w:tcPr>
            <w:tcW w:w="50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4"/>
                <w:szCs w:val="24"/>
              </w:rPr>
            </w:r>
          </w:p>
        </w:tc>
      </w:tr>
      <w:tr>
        <w:trPr>
          <w:trHeight w:val="144" w:hRule="atLeast"/>
          <w:cantSplit w:val="true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20"/>
                <w:tab w:val="left" w:pos="480" w:leader="none"/>
              </w:tabs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Согласие на обработку персональных данных (ФИО, подпись лиц, персональные данные которых представлены в анкете)</w:t>
            </w:r>
          </w:p>
        </w:tc>
        <w:tc>
          <w:tcPr>
            <w:tcW w:w="50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144" w:hRule="atLeast"/>
          <w:cantSplit w:val="true"/>
        </w:trPr>
        <w:tc>
          <w:tcPr>
            <w:tcW w:w="102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II. ИНФОРМАЦИЯ О ПРОЕКТЕ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229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2. Краткое описание проекта:</w:t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335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Цель проекта (производство, продажа, оказание услуг и пр.)</w:t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1. Производство изделий из дерева: светильники, вазы, чаши, подставки, мобили.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2. Оказание услуг по проведению столярных мастер-классов.</w:t>
            </w:r>
          </w:p>
        </w:tc>
      </w:tr>
      <w:tr>
        <w:trPr>
          <w:trHeight w:val="335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Краткое описание процесса производства / оказания услуг</w:t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u w:val="single"/>
              </w:rPr>
              <w:t>Мелкосерийное производство дизайнерских предметов интерьера из дерева.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 xml:space="preserve">Разработка эскизов и дизайн-проектов. Выбор подходящих материалов. Закупка расходников. Изготовление изделий, шлифовка и финишная отделка. Фотографирование готовых изделий. Организация продаж — создание карточек товаров на площадках электронной торговли (Озон, VK, Яндекс Маркет, Авито, собственный сайт). Получение заказа от покупателей, нашедших товар в поисковой выдаче. Упаковка и отправка товара. Получение выплат. 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u w:val="single"/>
              </w:rPr>
              <w:t>Проведение столярных мастер-классов на базе мастерской для детей и взрослых.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 xml:space="preserve">Разработка МК — выбор привлекательного и выполнимого за отведённое время изделия, подготовка техпроцесса, материалов и инструментов. Расчёт себестоимости. Информирование о проведении МК через соцсети — анонс, фото готового изделия. Набор группы к определённой дате — получение телефона для связи, добавление в чат, внесение предоплаты 50%. Проведение МК. Получение остальной оплаты. </w:t>
            </w:r>
          </w:p>
        </w:tc>
      </w:tr>
      <w:tr>
        <w:trPr>
          <w:trHeight w:val="335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Вид экономической деятельности (ОКВЭД)</w:t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16.23 — «Производство прочих деревянных строительных конструкций и столярных изделий».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85.41 «Образование дополнительное детей и взрослых»</w:t>
            </w:r>
          </w:p>
        </w:tc>
      </w:tr>
      <w:tr>
        <w:trPr>
          <w:trHeight w:val="335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Описание продукции (товары, работы, услуги); предлагаемой потребителю, с указанием количества единиц в мес.</w:t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Светильники (20000 р.) — 2 шт./мес.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Вазы (15000 р.) — 2 шт./мес.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Подставки для телефона (3000 р.) — 10 шт./мес.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МобИли (3000 р.) — 10 шт./мес.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Органайзеры (5000 р.) — 4 шт./мес.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Баночки/чаши (3500р.) — 4 шт./мес.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Игрушки (фигурки зверей, машинки, головоломки) (2000р.) — 5 шт./мес.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Столярные мастер-классы (1000 р.) — 4 шт./мес.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В дальнейшем планируется увеличение объёма.</w:t>
            </w:r>
          </w:p>
        </w:tc>
      </w:tr>
      <w:tr>
        <w:trPr>
          <w:trHeight w:val="335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География сбыта (отразить населенные пункты)</w:t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Кемеровская область и вся Россия</w:t>
            </w:r>
          </w:p>
        </w:tc>
      </w:tr>
      <w:tr>
        <w:trPr>
          <w:trHeight w:val="335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Потребитель продукции / услуг (юридические лица, физические лица)</w:t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Физические лица, чаще всего женщины</w:t>
            </w:r>
          </w:p>
        </w:tc>
      </w:tr>
      <w:tr>
        <w:trPr>
          <w:trHeight w:val="335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Адрес ведения деятельности (аренды помещения)</w:t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>
        <w:trPr>
          <w:trHeight w:val="383" w:hRule="atLeast"/>
          <w:cantSplit w:val="true"/>
        </w:trPr>
        <w:tc>
          <w:tcPr>
            <w:tcW w:w="52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3. Сумма софинансирования</w:t>
            </w:r>
          </w:p>
          <w:p>
            <w:pPr>
              <w:pStyle w:val="Normal"/>
              <w:widowControl/>
              <w:ind w:hanging="0" w:left="36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собственные и привлеченные источники (займы, кредиты и др. (указать отдельными строками)</w:t>
            </w:r>
          </w:p>
          <w:p>
            <w:pPr>
              <w:pStyle w:val="Normal"/>
              <w:widowControl/>
              <w:ind w:hanging="0" w:left="36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Собственные средства – рублей (сбережения).</w:t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ru-RU"/>
              </w:rPr>
              <w:t>1 320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 xml:space="preserve"> рублей</w:t>
            </w:r>
          </w:p>
        </w:tc>
      </w:tr>
      <w:tr>
        <w:trPr>
          <w:trHeight w:val="382" w:hRule="atLeast"/>
          <w:cantSplit w:val="true"/>
        </w:trPr>
        <w:tc>
          <w:tcPr>
            <w:tcW w:w="524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ind w:hanging="0"/>
              <w:jc w:val="left"/>
              <w:rPr/>
            </w:pPr>
            <w:r>
              <w:rPr/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Привлеченные источники – рублей (социальный контракт на открытие собственного дела).</w:t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350 000 рублей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Плановые показатели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отдельно за первые 3 месяца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накоплено за полугодие и год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4.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Финансовые показатели проекта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1-ый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мес.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2-ой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мес.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3-ий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мес.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за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6 мес.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за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12 мес.</w:t>
            </w:r>
          </w:p>
        </w:tc>
      </w:tr>
      <w:tr>
        <w:trPr>
          <w:trHeight w:val="209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Выручка от реализации продукции/услуг, тыс. руб.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30,00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40,00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270,00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870,00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Суммарные текущие расходы по проекту, тыс. руб.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351,32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4,48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2,50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360,80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368,25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В т.ч.</w:t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Х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196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расходы на сырье и материалы при производстве продукции/услуг (фанера, светодиодная лента, адаптеры питания, выключатели, защитное покрытие, клей, фурнитура)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37,00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44,50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47,00</w:t>
            </w:r>
          </w:p>
        </w:tc>
      </w:tr>
      <w:tr>
        <w:trPr>
          <w:trHeight w:val="70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196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расходы  на основные средства, оборудование и пр.: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314,32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1,98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316,30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321,25</w:t>
            </w:r>
          </w:p>
        </w:tc>
      </w:tr>
      <w:tr>
        <w:trPr>
          <w:trHeight w:val="70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196"/>
              <w:jc w:val="left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Фрезерный ЧПУ станок TWO TREES TTC6050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128,80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128,80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128,80</w:t>
            </w:r>
          </w:p>
        </w:tc>
      </w:tr>
      <w:tr>
        <w:trPr>
          <w:trHeight w:val="70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196"/>
              <w:jc w:val="left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Рейсмусовый станок Белмаш P2200M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53,03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53,03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53,03</w:t>
            </w:r>
          </w:p>
        </w:tc>
      </w:tr>
      <w:tr>
        <w:trPr>
          <w:trHeight w:val="70" w:hRule="atLeast"/>
          <w:cantSplit w:val="true"/>
        </w:trPr>
        <w:tc>
          <w:tcPr>
            <w:tcW w:w="52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196"/>
              <w:jc w:val="lef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Ноутбук Infinix InBook Y3 MAX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50,00</w:t>
            </w:r>
          </w:p>
        </w:tc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50,00</w:t>
            </w:r>
          </w:p>
        </w:tc>
        <w:tc>
          <w:tcPr>
            <w:tcW w:w="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50,00</w:t>
            </w:r>
          </w:p>
        </w:tc>
      </w:tr>
      <w:tr>
        <w:trPr>
          <w:trHeight w:val="70" w:hRule="atLeast"/>
          <w:cantSplit w:val="true"/>
        </w:trPr>
        <w:tc>
          <w:tcPr>
            <w:tcW w:w="52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196"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Цепная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пила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val="en-US"/>
              </w:rPr>
              <w:t xml:space="preserve"> Rokodil Cutter Pro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6,65</w:t>
            </w:r>
          </w:p>
        </w:tc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6,65</w:t>
            </w:r>
          </w:p>
        </w:tc>
        <w:tc>
          <w:tcPr>
            <w:tcW w:w="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6,65</w:t>
            </w:r>
          </w:p>
        </w:tc>
      </w:tr>
      <w:tr>
        <w:trPr>
          <w:trHeight w:val="70" w:hRule="atLeast"/>
          <w:cantSplit w:val="true"/>
        </w:trPr>
        <w:tc>
          <w:tcPr>
            <w:tcW w:w="52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196"/>
              <w:jc w:val="lef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Ленточный шлифовальный станок Belmash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8,91</w:t>
            </w:r>
          </w:p>
        </w:tc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8,91</w:t>
            </w:r>
          </w:p>
        </w:tc>
        <w:tc>
          <w:tcPr>
            <w:tcW w:w="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8,91</w:t>
            </w:r>
          </w:p>
        </w:tc>
      </w:tr>
      <w:tr>
        <w:trPr>
          <w:trHeight w:val="70" w:hRule="atLeast"/>
          <w:cantSplit w:val="true"/>
        </w:trPr>
        <w:tc>
          <w:tcPr>
            <w:tcW w:w="52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196"/>
              <w:jc w:val="lef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Кромочный фрезер Makita  RT0702C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10,00</w:t>
            </w:r>
          </w:p>
        </w:tc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10,00</w:t>
            </w:r>
          </w:p>
        </w:tc>
        <w:tc>
          <w:tcPr>
            <w:tcW w:w="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10,00</w:t>
            </w:r>
          </w:p>
        </w:tc>
      </w:tr>
      <w:tr>
        <w:trPr>
          <w:trHeight w:val="70" w:hRule="atLeast"/>
          <w:cantSplit w:val="true"/>
        </w:trPr>
        <w:tc>
          <w:tcPr>
            <w:tcW w:w="52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196"/>
              <w:jc w:val="lef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Бормашина FOREDOM SR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7,11</w:t>
            </w:r>
          </w:p>
        </w:tc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7,11</w:t>
            </w:r>
          </w:p>
        </w:tc>
        <w:tc>
          <w:tcPr>
            <w:tcW w:w="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7,11</w:t>
            </w:r>
          </w:p>
        </w:tc>
      </w:tr>
      <w:tr>
        <w:trPr>
          <w:trHeight w:val="70" w:hRule="atLeast"/>
          <w:cantSplit w:val="true"/>
        </w:trPr>
        <w:tc>
          <w:tcPr>
            <w:tcW w:w="52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196"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Фрезы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val="en-US"/>
              </w:rPr>
              <w:t xml:space="preserve"> Arbortech Precision Carving System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18,21</w:t>
            </w:r>
          </w:p>
        </w:tc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18,21</w:t>
            </w:r>
          </w:p>
        </w:tc>
        <w:tc>
          <w:tcPr>
            <w:tcW w:w="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18,21</w:t>
            </w:r>
          </w:p>
        </w:tc>
      </w:tr>
      <w:tr>
        <w:trPr>
          <w:trHeight w:val="70" w:hRule="atLeast"/>
          <w:cantSplit w:val="true"/>
        </w:trPr>
        <w:tc>
          <w:tcPr>
            <w:tcW w:w="52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196"/>
              <w:jc w:val="lef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Фрезы DJTOL AST3.17 для ЧПУ – 10 шт. (990 р./шт.)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2,97</w:t>
            </w:r>
          </w:p>
        </w:tc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1,98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4,95</w:t>
            </w:r>
          </w:p>
        </w:tc>
        <w:tc>
          <w:tcPr>
            <w:tcW w:w="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9,90</w:t>
            </w:r>
          </w:p>
        </w:tc>
      </w:tr>
      <w:tr>
        <w:trPr>
          <w:trHeight w:val="70" w:hRule="atLeast"/>
          <w:cantSplit w:val="true"/>
        </w:trPr>
        <w:tc>
          <w:tcPr>
            <w:tcW w:w="52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196"/>
              <w:jc w:val="lef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Держатель стойка для фотофона Raylab RL-BT2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2,39</w:t>
            </w:r>
          </w:p>
        </w:tc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2,39</w:t>
            </w:r>
          </w:p>
        </w:tc>
        <w:tc>
          <w:tcPr>
            <w:tcW w:w="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2,39</w:t>
            </w:r>
          </w:p>
        </w:tc>
      </w:tr>
      <w:tr>
        <w:trPr>
          <w:trHeight w:val="70" w:hRule="atLeast"/>
          <w:cantSplit w:val="true"/>
        </w:trPr>
        <w:tc>
          <w:tcPr>
            <w:tcW w:w="52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196"/>
              <w:jc w:val="lef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Фотофоны (белый, серый, черный) — 6 шт.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4,20</w:t>
            </w:r>
          </w:p>
        </w:tc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4,20</w:t>
            </w:r>
          </w:p>
        </w:tc>
        <w:tc>
          <w:tcPr>
            <w:tcW w:w="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4,20</w:t>
            </w:r>
          </w:p>
        </w:tc>
      </w:tr>
      <w:tr>
        <w:trPr>
          <w:trHeight w:val="70" w:hRule="atLeast"/>
          <w:cantSplit w:val="true"/>
        </w:trPr>
        <w:tc>
          <w:tcPr>
            <w:tcW w:w="52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196"/>
              <w:jc w:val="lef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Выжигатель — 5 шт.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8,43</w:t>
            </w:r>
          </w:p>
        </w:tc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8,43</w:t>
            </w:r>
          </w:p>
        </w:tc>
        <w:tc>
          <w:tcPr>
            <w:tcW w:w="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8,43</w:t>
            </w:r>
          </w:p>
        </w:tc>
      </w:tr>
      <w:tr>
        <w:trPr>
          <w:trHeight w:val="70" w:hRule="atLeast"/>
          <w:cantSplit w:val="true"/>
        </w:trPr>
        <w:tc>
          <w:tcPr>
            <w:tcW w:w="52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196"/>
              <w:jc w:val="lef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Лобзик ручной — 5 шт.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2,25</w:t>
            </w:r>
          </w:p>
        </w:tc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2,25</w:t>
            </w:r>
          </w:p>
        </w:tc>
        <w:tc>
          <w:tcPr>
            <w:tcW w:w="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2,25</w:t>
            </w:r>
          </w:p>
        </w:tc>
      </w:tr>
      <w:tr>
        <w:trPr>
          <w:trHeight w:val="70" w:hRule="atLeast"/>
          <w:cantSplit w:val="true"/>
        </w:trPr>
        <w:tc>
          <w:tcPr>
            <w:tcW w:w="52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196"/>
              <w:jc w:val="lef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Ножовка — 5 шт.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1,75</w:t>
            </w:r>
          </w:p>
        </w:tc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1,75</w:t>
            </w:r>
          </w:p>
        </w:tc>
        <w:tc>
          <w:tcPr>
            <w:tcW w:w="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1,75</w:t>
            </w:r>
          </w:p>
        </w:tc>
      </w:tr>
      <w:tr>
        <w:trPr>
          <w:trHeight w:val="70" w:hRule="atLeast"/>
          <w:cantSplit w:val="true"/>
        </w:trPr>
        <w:tc>
          <w:tcPr>
            <w:tcW w:w="52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196"/>
              <w:jc w:val="lef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Струбщины — 6 шт.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3,87</w:t>
            </w:r>
          </w:p>
        </w:tc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3,87</w:t>
            </w:r>
          </w:p>
        </w:tc>
        <w:tc>
          <w:tcPr>
            <w:tcW w:w="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3,87</w:t>
            </w:r>
          </w:p>
        </w:tc>
      </w:tr>
      <w:tr>
        <w:trPr>
          <w:trHeight w:val="70" w:hRule="atLeast"/>
          <w:cantSplit w:val="true"/>
        </w:trPr>
        <w:tc>
          <w:tcPr>
            <w:tcW w:w="52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196"/>
              <w:jc w:val="lef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Угольник — 5 шт.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3,18</w:t>
            </w:r>
          </w:p>
        </w:tc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3,18</w:t>
            </w:r>
          </w:p>
        </w:tc>
        <w:tc>
          <w:tcPr>
            <w:tcW w:w="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3,18</w:t>
            </w:r>
          </w:p>
        </w:tc>
      </w:tr>
      <w:tr>
        <w:trPr>
          <w:trHeight w:val="70" w:hRule="atLeast"/>
          <w:cantSplit w:val="true"/>
        </w:trPr>
        <w:tc>
          <w:tcPr>
            <w:tcW w:w="52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196"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Пила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val="en-US"/>
              </w:rPr>
              <w:t xml:space="preserve"> Ryoba Seiun Saku, Gyokucho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2,57</w:t>
            </w:r>
          </w:p>
        </w:tc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2,57</w:t>
            </w:r>
          </w:p>
        </w:tc>
        <w:tc>
          <w:tcPr>
            <w:tcW w:w="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2,57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u w:val="singl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Ставка налога:</w:t>
            </w:r>
          </w:p>
          <w:p>
            <w:pPr>
              <w:pStyle w:val="Normal"/>
              <w:widowControl/>
              <w:ind w:firstLine="317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u w:val="single"/>
              </w:rPr>
              <w:t>Самозанятый – услуги физлицам 4%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0,80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1,20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1,60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10,80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34,80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Чистая прибыль, тыс. руб. (разница между выручкой, расходами и налогами)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-332,12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-307,80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-271,90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-101,60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466,95</w:t>
            </w:r>
          </w:p>
        </w:tc>
      </w:tr>
      <w:tr>
        <w:trPr>
          <w:trHeight w:val="144" w:hRule="atLeast"/>
          <w:cantSplit w:val="true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5. Планируемая форма ведения бизнеса (индивидуальный предприниматель, самозанятый)</w:t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Самозанятый</w:t>
            </w:r>
          </w:p>
        </w:tc>
      </w:tr>
    </w:tbl>
    <w:p>
      <w:pPr>
        <w:pStyle w:val="Normal"/>
        <w:widowControl/>
        <w:ind w:hanging="0" w:left="720"/>
        <w:rPr>
          <w:rFonts w:ascii="Times New Roman" w:hAnsi="Times New Roman" w:eastAsia="Times New Roman" w:cs="Times New Roman"/>
          <w:color w:val="FF0000"/>
          <w:sz w:val="40"/>
          <w:szCs w:val="40"/>
        </w:rPr>
      </w:pPr>
      <w:r>
        <w:rPr/>
      </w:r>
    </w:p>
    <w:p>
      <w:pPr>
        <w:pStyle w:val="Normal"/>
        <w:ind w:hanging="0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>РИСКИ И ПУТИ РЕШЕНИЯ</w:t>
      </w:r>
    </w:p>
    <w:p>
      <w:pPr>
        <w:pStyle w:val="Normal"/>
        <w:ind w:hanging="0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</w:r>
    </w:p>
    <w:p>
      <w:pPr>
        <w:pStyle w:val="Normal"/>
        <w:numPr>
          <w:ilvl w:val="0"/>
          <w:numId w:val="3"/>
        </w:numPr>
        <w:ind w:firstLine="709" w:left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Недостаточный объём спроса на готовую продукцию.  </w:t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Пути решения: Выходить на разные маркетплейсы Ozon и Яндекс Маркет. Развивать соцсети. Создавать собственный сайт мастерской как самостоятельный канал продаж, и как инструмент для взаимодействия с галереями, дизайнерами, лидерами общественного мнения. Участвовать в выставках. Проводить стимулирующие маркетинговые акции, направленные на увеличение продаж и узнаваемости. Диверсифицировать ассортимент продукции. Разрабатывать линейки товаров разной ценовой категории. Искать изделия с повышенным спросом. Делать упор на уникальность и качество, чтобы отстроиться от конкурентов.</w:t>
      </w:r>
    </w:p>
    <w:p>
      <w:pPr>
        <w:pStyle w:val="Normal"/>
        <w:numPr>
          <w:ilvl w:val="0"/>
          <w:numId w:val="3"/>
        </w:numPr>
        <w:ind w:firstLine="709" w:left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Недостаточный объём производства продукции. </w:t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Использовать станок ЧПУ в качестве помощника, выполняющего часть работы по изготовлению изделий и тем самым добиваться ускорения производства. Нарабатывать типовые изделия для мелкосерийного производства. Однотипность операций и поточность позволят оптимизировать временные затраты на изготовление. Переходить на полную занятость в мастерской при увеличении спроса.</w:t>
      </w:r>
    </w:p>
    <w:p>
      <w:pPr>
        <w:pStyle w:val="Normal"/>
        <w:numPr>
          <w:ilvl w:val="0"/>
          <w:numId w:val="3"/>
        </w:numPr>
        <w:ind w:firstLine="709" w:left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Поломка оборудования. </w:t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Предполагается проводить регулярное ТО оборудования. Иметь резервный фонд для оперативного ремонта. Переключаться во время ремонта на изготовление таких изделий, в процессе производства которых не задействуется оборудование, вышедшее из строя. Арендовать аналогичное оборудование на время ремонта. Отдавать часть работ в другие организации. Менять технологию изготовления там, где можно обходиться работающим оборудованием.</w:t>
      </w:r>
    </w:p>
    <w:p>
      <w:pPr>
        <w:pStyle w:val="Normal"/>
        <w:numPr>
          <w:ilvl w:val="0"/>
          <w:numId w:val="3"/>
        </w:numPr>
        <w:ind w:firstLine="709" w:left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Получение производственных травм. </w:t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Предполагается использовать в работе современное оборудование, в котором предусмотрена защита оператора. Использовать СИЗ для работы. Иметь финансовую подушку на случай травмы и простоя в работе. </w:t>
      </w:r>
    </w:p>
    <w:p>
      <w:pPr>
        <w:pStyle w:val="Normal"/>
        <w:numPr>
          <w:ilvl w:val="0"/>
          <w:numId w:val="3"/>
        </w:numPr>
        <w:ind w:firstLine="709" w:left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Потеря помещения. </w:t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Если потеря связана с изменением условий аренды — переезд в запасную мастерскую. Строго соблюдать технику безопасности, чтобы уменьшить вероятность пожара в мастерской. Проводить регулярную уборки пыли, иметь в наличии исправные средства пожаротушения и сигнализации.  </w:t>
      </w:r>
    </w:p>
    <w:p>
      <w:pPr>
        <w:pStyle w:val="Normal"/>
        <w:ind w:hanging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ind w:hanging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ind w:hanging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ind w:hanging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ind w:hanging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ind w:hanging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ind w:hanging="0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>АНАЛИЗ КОНКУРЕНТОВ</w:t>
      </w:r>
    </w:p>
    <w:p>
      <w:pPr>
        <w:pStyle w:val="Normal"/>
        <w:ind w:firstLine="709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</w:r>
    </w:p>
    <w:tbl>
      <w:tblPr>
        <w:tblStyle w:val="afa"/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noHBand="0" w:noVBand="1" w:firstColumn="0" w:lastRow="0" w:lastColumn="0" w:firstRow="0"/>
      </w:tblPr>
      <w:tblGrid>
        <w:gridCol w:w="542"/>
        <w:gridCol w:w="1654"/>
        <w:gridCol w:w="1442"/>
        <w:gridCol w:w="3161"/>
        <w:gridCol w:w="2546"/>
      </w:tblGrid>
      <w:tr>
        <w:trPr/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hanging="0"/>
              <w:jc w:val="left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highlight w:val="white"/>
              </w:rPr>
              <w:t>№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hanging="0"/>
              <w:jc w:val="left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highlight w:val="white"/>
              </w:rPr>
              <w:t>Название организации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hanging="0"/>
              <w:jc w:val="left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highlight w:val="white"/>
              </w:rPr>
              <w:t>Стоимость услуг, руб.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hanging="0"/>
              <w:jc w:val="left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highlight w:val="white"/>
              </w:rPr>
              <w:t>+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hanging="0"/>
              <w:jc w:val="left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highlight w:val="white"/>
              </w:rPr>
              <w:t>-</w:t>
            </w:r>
          </w:p>
        </w:tc>
      </w:tr>
      <w:tr>
        <w:trPr/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hanging="0"/>
              <w:jc w:val="left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Конкурент 1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hanging="0"/>
              <w:jc w:val="left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1000-5000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Давно на рынке. Большой ассортимент. Есть свой сайт. Низкая цена продукции.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Изделия поточные, не предполагают большую художественную ценность.</w:t>
            </w:r>
          </w:p>
        </w:tc>
      </w:tr>
      <w:tr>
        <w:trPr/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hanging="0"/>
              <w:jc w:val="left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Конкурент 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hanging="0"/>
              <w:jc w:val="left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2000-5000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Широкий ассортимент декоративных тарелок и светильников. Есть магазин на Яндекс Маркете.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Однотипность изделий. Отсутствие узнаваемого стиля.</w:t>
            </w:r>
          </w:p>
        </w:tc>
      </w:tr>
      <w:tr>
        <w:trPr/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hanging="0"/>
              <w:jc w:val="left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Конкурент 3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hanging="0"/>
              <w:jc w:val="left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500-50000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Есть уникальные предметы интерьера. Авторский стиль. Есть магазин на Яндекс Маркете, Озоне.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hanging="0"/>
              <w:jc w:val="left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Нет сайта. Слабые соцсети.</w:t>
            </w:r>
          </w:p>
        </w:tc>
      </w:tr>
      <w:tr>
        <w:trPr/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hanging="0"/>
              <w:jc w:val="left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Конкурент 4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1000-5000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Крупная франшиза, работающая в разных городах. Продуманная программа мастер-классов для детей.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Упор на развлечение и быстрый результат. Слабая углублённость в суть процесса. Сосредоточенность только на МК для детей. Не предусмотрена самостоятельная работа в мастерской или аренда рабочего места.</w:t>
            </w:r>
          </w:p>
        </w:tc>
      </w:tr>
      <w:tr>
        <w:trPr/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hanging="0"/>
              <w:jc w:val="left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Конкурент 5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15000-100000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Есть свой сайт, шоурумы. Хороший каталог работ. Своё производство. Сотрудничество со студиями дизайна. Участие в выставках.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Компания не представлена на маркетплейсах.</w:t>
            </w:r>
          </w:p>
        </w:tc>
      </w:tr>
    </w:tbl>
    <w:p>
      <w:pPr>
        <w:pStyle w:val="Normal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ФОТОГРАФИИ ОБОРУДОВАНИЯ С ЦЕНОЙ (СКРИНЫ)</w:t>
      </w:r>
    </w:p>
    <w:p>
      <w:pPr>
        <w:pStyle w:val="Normal"/>
        <w:ind w:hanging="0" w:left="-426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С ССЫЛКАМИ</w:t>
      </w:r>
    </w:p>
    <w:p>
      <w:pPr>
        <w:pStyle w:val="Normal"/>
        <w:ind w:hanging="0" w:left="-426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ind w:hanging="0" w:left="-426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ind w:hanging="0" w:left="-426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ind w:hanging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ind w:hanging="0" w:left="-426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ind w:hanging="0" w:left="-426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ind w:hanging="0" w:left="-426"/>
        <w:jc w:val="center"/>
        <w:rPr>
          <w:rFonts w:ascii="Times New Roman" w:hAnsi="Times New Roman" w:eastAsia="Times New Roman" w:cs="Times New Roman"/>
          <w:b/>
          <w:bCs/>
          <w:sz w:val="29"/>
          <w:szCs w:val="29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ФОТО РАБОТ </w:t>
      </w:r>
    </w:p>
    <w:p>
      <w:pPr>
        <w:pStyle w:val="Normal"/>
        <w:ind w:firstLine="720" w:right="8"/>
        <w:jc w:val="center"/>
        <w:rPr>
          <w:rFonts w:ascii="Times New Roman" w:hAnsi="Times New Roman" w:eastAsia="Times New Roman" w:cs="Times New Roman"/>
          <w:b/>
          <w:bCs/>
          <w:sz w:val="29"/>
          <w:szCs w:val="29"/>
        </w:rPr>
      </w:pPr>
      <w:r>
        <w:rPr>
          <w:rFonts w:eastAsia="Times New Roman" w:cs="Times New Roman" w:ascii="Times New Roman" w:hAnsi="Times New Roman"/>
          <w:b/>
          <w:bCs/>
          <w:sz w:val="29"/>
          <w:szCs w:val="29"/>
        </w:rPr>
      </w:r>
    </w:p>
    <w:p>
      <w:pPr>
        <w:pStyle w:val="Normal"/>
        <w:ind w:firstLine="720" w:right="8"/>
        <w:jc w:val="center"/>
        <w:rPr>
          <w:rFonts w:ascii="Times New Roman" w:hAnsi="Times New Roman" w:eastAsia="Times New Roman" w:cs="Times New Roman"/>
          <w:b/>
          <w:bCs/>
          <w:sz w:val="29"/>
          <w:szCs w:val="29"/>
        </w:rPr>
      </w:pPr>
      <w:r>
        <w:rPr>
          <w:rFonts w:eastAsia="Times New Roman" w:cs="Times New Roman" w:ascii="Times New Roman" w:hAnsi="Times New Roman"/>
          <w:b/>
          <w:bCs/>
          <w:sz w:val="29"/>
          <w:szCs w:val="29"/>
        </w:rPr>
      </w:r>
    </w:p>
    <w:p>
      <w:pPr>
        <w:pStyle w:val="Normal"/>
        <w:ind w:firstLine="720" w:right="8"/>
        <w:jc w:val="center"/>
        <w:rPr>
          <w:rFonts w:ascii="Times New Roman" w:hAnsi="Times New Roman" w:eastAsia="Times New Roman" w:cs="Times New Roman"/>
          <w:b/>
          <w:bCs/>
          <w:sz w:val="29"/>
          <w:szCs w:val="29"/>
        </w:rPr>
      </w:pPr>
      <w:r>
        <w:rPr>
          <w:rFonts w:eastAsia="Times New Roman" w:cs="Times New Roman" w:ascii="Times New Roman" w:hAnsi="Times New Roman"/>
          <w:b/>
          <w:bCs/>
          <w:sz w:val="29"/>
          <w:szCs w:val="29"/>
        </w:rPr>
      </w:r>
    </w:p>
    <w:p>
      <w:pPr>
        <w:pStyle w:val="Normal"/>
        <w:ind w:firstLine="720" w:right="8"/>
        <w:jc w:val="center"/>
        <w:rPr>
          <w:rFonts w:ascii="Times New Roman" w:hAnsi="Times New Roman" w:eastAsia="Times New Roman" w:cs="Times New Roman"/>
          <w:b/>
          <w:bCs/>
          <w:sz w:val="29"/>
          <w:szCs w:val="29"/>
        </w:rPr>
      </w:pPr>
      <w:r>
        <w:rPr>
          <w:rFonts w:eastAsia="Times New Roman" w:cs="Times New Roman" w:ascii="Times New Roman" w:hAnsi="Times New Roman"/>
          <w:b/>
          <w:bCs/>
          <w:sz w:val="29"/>
          <w:szCs w:val="29"/>
        </w:rPr>
      </w:r>
    </w:p>
    <w:p>
      <w:pPr>
        <w:pStyle w:val="Normal"/>
        <w:ind w:firstLine="720" w:right="8"/>
        <w:jc w:val="center"/>
        <w:rPr>
          <w:rFonts w:ascii="Times New Roman" w:hAnsi="Times New Roman" w:eastAsia="Times New Roman" w:cs="Times New Roman"/>
          <w:b/>
          <w:bCs/>
          <w:sz w:val="29"/>
          <w:szCs w:val="29"/>
        </w:rPr>
      </w:pPr>
      <w:r>
        <w:rPr>
          <w:rFonts w:eastAsia="Times New Roman" w:cs="Times New Roman" w:ascii="Times New Roman" w:hAnsi="Times New Roman"/>
          <w:b/>
          <w:bCs/>
          <w:sz w:val="29"/>
          <w:szCs w:val="29"/>
        </w:rPr>
      </w:r>
    </w:p>
    <w:p>
      <w:pPr>
        <w:pStyle w:val="Normal"/>
        <w:ind w:firstLine="720" w:right="8"/>
        <w:jc w:val="center"/>
        <w:rPr>
          <w:rFonts w:ascii="Times New Roman" w:hAnsi="Times New Roman" w:eastAsia="Times New Roman" w:cs="Times New Roman"/>
          <w:b/>
          <w:bCs/>
          <w:sz w:val="29"/>
          <w:szCs w:val="29"/>
        </w:rPr>
      </w:pPr>
      <w:r>
        <w:rPr>
          <w:rFonts w:eastAsia="Times New Roman" w:cs="Times New Roman" w:ascii="Times New Roman" w:hAnsi="Times New Roman"/>
          <w:b/>
          <w:bCs/>
          <w:sz w:val="29"/>
          <w:szCs w:val="29"/>
        </w:rPr>
      </w:r>
    </w:p>
    <w:p>
      <w:pPr>
        <w:pStyle w:val="Normal"/>
        <w:ind w:firstLine="720" w:right="8"/>
        <w:jc w:val="center"/>
        <w:rPr>
          <w:rFonts w:ascii="Times New Roman" w:hAnsi="Times New Roman" w:eastAsia="Times New Roman" w:cs="Times New Roman"/>
          <w:b/>
          <w:bCs/>
          <w:sz w:val="29"/>
          <w:szCs w:val="29"/>
        </w:rPr>
      </w:pPr>
      <w:r>
        <w:rPr>
          <w:rFonts w:eastAsia="Times New Roman" w:cs="Times New Roman" w:ascii="Times New Roman" w:hAnsi="Times New Roman"/>
          <w:b/>
          <w:bCs/>
          <w:sz w:val="29"/>
          <w:szCs w:val="29"/>
        </w:rPr>
      </w:r>
    </w:p>
    <w:p>
      <w:pPr>
        <w:pStyle w:val="Normal"/>
        <w:spacing w:before="0" w:after="33"/>
        <w:jc w:val="right"/>
        <w:rPr>
          <w:rFonts w:ascii="Times New Roman" w:hAnsi="Times New Roman" w:eastAsia="Times New Roman" w:cs="Times New Roman"/>
          <w:b/>
          <w:bCs/>
          <w:sz w:val="29"/>
          <w:szCs w:val="29"/>
        </w:rPr>
      </w:pPr>
      <w:r>
        <w:rPr>
          <w:rFonts w:eastAsia="Times New Roman" w:cs="Times New Roman" w:ascii="Times New Roman" w:hAnsi="Times New Roman"/>
          <w:b/>
          <w:bCs/>
          <w:sz w:val="29"/>
          <w:szCs w:val="29"/>
        </w:rPr>
        <w:t>Приложение</w:t>
      </w:r>
    </w:p>
    <w:p>
      <w:pPr>
        <w:pStyle w:val="Normal"/>
        <w:ind w:firstLine="720" w:right="8"/>
        <w:jc w:val="center"/>
        <w:rPr>
          <w:rFonts w:ascii="Times New Roman" w:hAnsi="Times New Roman" w:eastAsia="Times New Roman" w:cs="Times New Roman"/>
          <w:b/>
          <w:bCs/>
          <w:sz w:val="29"/>
          <w:szCs w:val="29"/>
        </w:rPr>
      </w:pPr>
      <w:r>
        <w:rPr>
          <w:rFonts w:eastAsia="Times New Roman" w:cs="Times New Roman" w:ascii="Times New Roman" w:hAnsi="Times New Roman"/>
          <w:b/>
          <w:bCs/>
          <w:sz w:val="29"/>
          <w:szCs w:val="29"/>
        </w:rPr>
      </w:r>
    </w:p>
    <w:p>
      <w:pPr>
        <w:pStyle w:val="Normal"/>
        <w:ind w:firstLine="720" w:right="8"/>
        <w:jc w:val="center"/>
        <w:rPr>
          <w:rFonts w:ascii="Times New Roman" w:hAnsi="Times New Roman" w:eastAsia="Times New Roman" w:cs="Times New Roman"/>
          <w:b/>
          <w:bCs/>
          <w:sz w:val="29"/>
          <w:szCs w:val="29"/>
        </w:rPr>
      </w:pPr>
      <w:r>
        <w:rPr>
          <w:rFonts w:eastAsia="Times New Roman" w:cs="Times New Roman" w:ascii="Times New Roman" w:hAnsi="Times New Roman"/>
          <w:b/>
          <w:bCs/>
          <w:sz w:val="29"/>
          <w:szCs w:val="29"/>
        </w:rPr>
      </w:r>
    </w:p>
    <w:p>
      <w:pPr>
        <w:pStyle w:val="Normal"/>
        <w:ind w:firstLine="720" w:right="8"/>
        <w:jc w:val="center"/>
        <w:rPr/>
      </w:pPr>
      <w:r>
        <w:rPr>
          <w:rFonts w:eastAsia="Times New Roman" w:cs="Times New Roman" w:ascii="Times New Roman" w:hAnsi="Times New Roman"/>
          <w:b/>
          <w:bCs/>
          <w:sz w:val="29"/>
          <w:szCs w:val="29"/>
        </w:rPr>
        <w:t xml:space="preserve">Плановые показатели на 12 месяцев </w:t>
      </w:r>
    </w:p>
    <w:p>
      <w:pPr>
        <w:pStyle w:val="Normal"/>
        <w:ind w:firstLine="720" w:left="52"/>
        <w:jc w:val="center"/>
        <w:rPr/>
      </w:pPr>
      <w:r>
        <w:rPr>
          <w:rFonts w:eastAsia="Times New Roman" w:cs="Times New Roman" w:ascii="Times New Roman" w:hAnsi="Times New Roman"/>
          <w:b/>
          <w:bCs/>
          <w:sz w:val="29"/>
          <w:szCs w:val="29"/>
        </w:rPr>
        <w:t xml:space="preserve"> </w:t>
      </w:r>
    </w:p>
    <w:tbl>
      <w:tblPr>
        <w:tblStyle w:val="afb"/>
        <w:tblW w:w="9287" w:type="dxa"/>
        <w:jc w:val="left"/>
        <w:tblInd w:w="-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noHBand="0" w:noVBand="1" w:firstColumn="0" w:lastRow="0" w:lastColumn="0" w:firstRow="0"/>
      </w:tblPr>
      <w:tblGrid>
        <w:gridCol w:w="1157"/>
        <w:gridCol w:w="1976"/>
        <w:gridCol w:w="2360"/>
        <w:gridCol w:w="2186"/>
        <w:gridCol w:w="1608"/>
      </w:tblGrid>
      <w:tr>
        <w:trPr>
          <w:trHeight w:val="1200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 месяцам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Выручка от реализации продукции/услуг, тыс. руб.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Суммарные текущие расходы по проекту,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Сумма налога: Самозанятый – услуги физ. лицам 4%.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Чистая прибыль,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тыс. руб.</w:t>
            </w:r>
          </w:p>
        </w:tc>
      </w:tr>
      <w:tr>
        <w:trPr>
          <w:trHeight w:val="324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ind w:hanging="0" w:right="75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351,32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0,80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-332,12</w:t>
            </w:r>
          </w:p>
        </w:tc>
      </w:tr>
      <w:tr>
        <w:trPr>
          <w:trHeight w:val="281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ind w:hanging="0" w:right="75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30,00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4,48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1,20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-307,80</w:t>
            </w:r>
          </w:p>
        </w:tc>
      </w:tr>
      <w:tr>
        <w:trPr>
          <w:trHeight w:val="286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ind w:hanging="0" w:right="75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40,00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2,50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1,60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-271,90</w:t>
            </w:r>
          </w:p>
        </w:tc>
      </w:tr>
      <w:tr>
        <w:trPr>
          <w:trHeight w:val="159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ind w:hanging="0" w:right="75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-223,90</w:t>
            </w:r>
          </w:p>
        </w:tc>
      </w:tr>
      <w:tr>
        <w:trPr>
          <w:trHeight w:val="188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ind w:hanging="0" w:right="75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60,00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2,50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2,40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-168,80</w:t>
            </w:r>
          </w:p>
        </w:tc>
      </w:tr>
      <w:tr>
        <w:trPr>
          <w:trHeight w:val="83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ind w:hanging="0" w:right="75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2,80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-101,60</w:t>
            </w:r>
          </w:p>
        </w:tc>
      </w:tr>
      <w:tr>
        <w:trPr>
          <w:trHeight w:val="11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ind w:hanging="0" w:right="75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80,00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3,20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-24,80</w:t>
            </w:r>
          </w:p>
        </w:tc>
      </w:tr>
      <w:tr>
        <w:trPr>
          <w:trHeight w:val="141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ind w:hanging="0" w:right="75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90,00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2,97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3,60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58,63</w:t>
            </w:r>
          </w:p>
        </w:tc>
      </w:tr>
      <w:tr>
        <w:trPr>
          <w:trHeight w:val="37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ind w:hanging="0" w:right="75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2,50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152,13</w:t>
            </w:r>
          </w:p>
        </w:tc>
      </w:tr>
      <w:tr>
        <w:trPr>
          <w:trHeight w:val="11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ind w:hanging="0" w:right="75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110,00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4,40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257,73</w:t>
            </w:r>
          </w:p>
        </w:tc>
      </w:tr>
      <w:tr>
        <w:trPr>
          <w:trHeight w:val="95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ind w:hanging="0" w:right="75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110,00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1,98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4,40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361,35</w:t>
            </w:r>
          </w:p>
        </w:tc>
      </w:tr>
      <w:tr>
        <w:trPr>
          <w:trHeight w:val="234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ind w:hanging="0" w:right="75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110,00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4,40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466,95</w:t>
            </w:r>
          </w:p>
        </w:tc>
      </w:tr>
      <w:tr>
        <w:trPr>
          <w:trHeight w:val="434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/>
              <w:ind w:hanging="0" w:right="15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ИТОГО за 12 мес.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870,00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368,25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34,80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466,95</w:t>
            </w:r>
          </w:p>
        </w:tc>
      </w:tr>
    </w:tbl>
    <w:p>
      <w:pPr>
        <w:pStyle w:val="Normal"/>
        <w:ind w:hanging="0" w:left="720"/>
        <w:rPr/>
      </w:pPr>
      <w:r>
        <w:rPr/>
      </w:r>
    </w:p>
    <w:p>
      <w:pPr>
        <w:pStyle w:val="Normal"/>
        <w:widowControl/>
        <w:ind w:hanging="0" w:left="720"/>
        <w:rPr>
          <w:rFonts w:ascii="Times New Roman" w:hAnsi="Times New Roman" w:eastAsia="Times New Roman" w:cs="Times New Roman"/>
          <w:color w:val="FF0000"/>
          <w:sz w:val="40"/>
          <w:szCs w:val="40"/>
        </w:rPr>
      </w:pPr>
      <w:r>
        <w:rPr>
          <w:rFonts w:eastAsia="Times New Roman" w:cs="Times New Roman" w:ascii="Times New Roman" w:hAnsi="Times New Roman"/>
          <w:color w:val="FF0000"/>
          <w:sz w:val="40"/>
          <w:szCs w:val="40"/>
        </w:rPr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Заявитель: </w:t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Подпись:</w:t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Дата:</w:t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701" w:right="851" w:gutter="0" w:header="0" w:top="1134" w:footer="709" w:bottom="1134"/>
      <w:pgNumType w:start="1"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Arial">
    <w:charset w:val="01"/>
    <w:family w:val="swiss"/>
    <w:pitch w:val="default"/>
  </w:font>
  <w:font w:name="Tahoma">
    <w:charset w:val="01"/>
    <w:family w:val="swiss"/>
    <w:pitch w:val="default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PT Astra Serif">
    <w:charset w:val="01"/>
    <w:family w:val="roman"/>
    <w:pitch w:val="default"/>
    <w:embedRegular r:id="rId8" w:fontKey="{08014A78-CABC-4EF0-12AC-5CD89AEFDE08}"/>
    <w:embedBold r:id="rId9" w:fontKey="{09014A78-CABC-4EF0-12AC-5CD89AEFDE09}"/>
    <w:embedItalic r:id="rId10" w:fontKey="{0A014A78-CABC-4EF0-12AC-5CD89AEFDE0A}"/>
    <w:embedBoldItalic r:id="rId11" w:fontKey="{0B014A78-CABC-4EF0-12AC-5CD89AEFDE0B}"/>
  </w:font>
  <w:font w:name="Liberation Sans">
    <w:altName w:val="Arial"/>
    <w:charset w:val="01"/>
    <w:family w:val="swiss"/>
    <w:pitch w:val="default"/>
    <w:embedRegular r:id="rId12" w:fontKey="{0C014A78-CABC-4EF0-12AC-5CD89AEFDE0C}"/>
    <w:embedBold r:id="rId13" w:fontKey="{0D014A78-CABC-4EF0-12AC-5CD89AEFDE0D}"/>
    <w:embedItalic r:id="rId14" w:fontKey="{0E014A78-CABC-4EF0-12AC-5CD89AEFDE0E}"/>
    <w:embedBoldItalic r:id="rId15" w:fontKey="{0F014A78-CABC-4EF0-12AC-5CD89AEFDE0F}"/>
  </w:font>
  <w:font w:name="Georgia">
    <w:charset w:val="01"/>
    <w:family w:val="roman"/>
    <w:pitch w:val="default"/>
    <w:embedRegular r:id="rId16" w:fontKey="{10014A78-CABC-4EF0-12AC-5CD89AEFDE10}"/>
    <w:embedItalic r:id="rId17" w:fontKey="{11014A78-CABC-4EF0-12AC-5CD89AEFDE11}"/>
  </w:font>
  <w:font w:name="Times New Roman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677" w:leader="none"/>
        <w:tab w:val="right" w:pos="9355" w:leader="none"/>
      </w:tabs>
      <w:jc w:val="right"/>
      <w:rPr>
        <w:rFonts w:ascii="Times New Roman" w:hAnsi="Times New Roman" w:eastAsia="Times New Roman" w:cs="Times New Roman"/>
        <w:color w:val="000000"/>
        <w:sz w:val="24"/>
        <w:szCs w:val="24"/>
      </w:rPr>
    </w:pPr>
    <w:r>
      <w:rPr>
        <w:rFonts w:eastAsia="Times New Roman" w:cs="Times New Roman" w:ascii="Times New Roman" w:hAnsi="Times New Roman"/>
        <w:color w:val="000000"/>
        <w:sz w:val="24"/>
        <w:szCs w:val="24"/>
      </w:rPr>
      <w:fldChar w:fldCharType="begin"/>
    </w:r>
    <w:r>
      <w:rPr>
        <w:sz w:val="24"/>
        <w:szCs w:val="24"/>
        <w:rFonts w:eastAsia="Times New Roman" w:cs="Times New Roman" w:ascii="Times New Roman" w:hAnsi="Times New Roman"/>
        <w:color w:val="000000"/>
      </w:rPr>
      <w:instrText xml:space="preserve"> PAGE </w:instrText>
    </w:r>
    <w:r>
      <w:rPr>
        <w:sz w:val="24"/>
        <w:szCs w:val="24"/>
        <w:rFonts w:eastAsia="Times New Roman" w:cs="Times New Roman" w:ascii="Times New Roman" w:hAnsi="Times New Roman"/>
        <w:color w:val="000000"/>
      </w:rPr>
      <w:fldChar w:fldCharType="separate"/>
    </w:r>
    <w:r>
      <w:rPr>
        <w:sz w:val="24"/>
        <w:szCs w:val="24"/>
        <w:rFonts w:eastAsia="Times New Roman" w:cs="Times New Roman" w:ascii="Times New Roman" w:hAnsi="Times New Roman"/>
        <w:color w:val="000000"/>
      </w:rPr>
      <w:t>5</w:t>
    </w:r>
    <w:r>
      <w:rPr>
        <w:sz w:val="24"/>
        <w:szCs w:val="24"/>
        <w:rFonts w:eastAsia="Times New Roman" w:cs="Times New Roman" w:ascii="Times New Roman" w:hAnsi="Times New Roman"/>
        <w:color w:val="000000"/>
      </w:rPr>
      <w:fldChar w:fldCharType="end"/>
    </w:r>
  </w:p>
  <w:p>
    <w:pPr>
      <w:pStyle w:val="Normal"/>
      <w:tabs>
        <w:tab w:val="clear" w:pos="720"/>
        <w:tab w:val="center" w:pos="4677" w:leader="none"/>
        <w:tab w:val="right" w:pos="9355" w:leader="none"/>
      </w:tabs>
      <w:rPr>
        <w:color w:val="000000"/>
        <w:sz w:val="24"/>
        <w:szCs w:val="24"/>
      </w:rPr>
    </w:pPr>
    <w:r>
      <w:rPr>
        <w:color w:val="000000"/>
        <w:sz w:val="24"/>
        <w:szCs w:val="24"/>
      </w:rPr>
      <w:drawing>
        <wp:anchor behindDoc="1" distT="0" distB="0" distL="0" distR="0" simplePos="0" locked="0" layoutInCell="0" allowOverlap="1" relativeHeight="6">
          <wp:simplePos x="0" y="0"/>
          <wp:positionH relativeFrom="column">
            <wp:posOffset>-1209675</wp:posOffset>
          </wp:positionH>
          <wp:positionV relativeFrom="paragraph">
            <wp:posOffset>680085</wp:posOffset>
          </wp:positionV>
          <wp:extent cx="4252595" cy="4010025"/>
          <wp:effectExtent l="0" t="0" r="0" b="0"/>
          <wp:wrapSquare wrapText="bothSides"/>
          <wp:docPr id="1" name="image34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4.jp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20294" r="0" b="3970"/>
                  <a:stretch>
                    <a:fillRect/>
                  </a:stretch>
                </pic:blipFill>
                <pic:spPr bwMode="auto">
                  <a:xfrm>
                    <a:off x="0" y="0"/>
                    <a:ext cx="4252595" cy="4010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color w:val="000000"/>
      </w:rPr>
    </w:pPr>
    <w:r>
      <w:rPr>
        <w:color w:val="000000"/>
      </w:rPr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1.%1."/>
      <w:lvlJc w:val="left"/>
      <w:pPr>
        <w:tabs>
          <w:tab w:val="num" w:pos="0"/>
        </w:tabs>
        <w:ind w:left="4472" w:hanging="360"/>
      </w:pPr>
      <w:rPr>
        <w:b w:val="false"/>
        <w:bCs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  <w:rPr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>
        <w:sz w:val="22"/>
        <w:szCs w:val="22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  <w:rPr>
        <w:sz w:val="22"/>
        <w:szCs w:val="22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  <w:rPr>
        <w:sz w:val="22"/>
        <w:szCs w:val="22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  <w:rPr>
        <w:sz w:val="22"/>
        <w:szCs w:val="22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680" w:hanging="1800"/>
      </w:pPr>
      <w:rPr>
        <w:sz w:val="22"/>
        <w:szCs w:val="22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1"/>
        <w:szCs w:val="21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ind w:firstLine="720"/>
      <w:jc w:val="both"/>
    </w:pPr>
    <w:rPr>
      <w:rFonts w:ascii="Arial" w:hAnsi="Arial" w:eastAsia="Arial" w:cs="Arial"/>
      <w:color w:val="auto"/>
      <w:kern w:val="0"/>
      <w:sz w:val="21"/>
      <w:szCs w:val="21"/>
      <w:lang w:val="ru-RU" w:eastAsia="ru-RU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bCs/>
      <w:color w:val="00000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Текст примечания Знак"/>
    <w:basedOn w:val="DefaultParagraphFont"/>
    <w:uiPriority w:val="99"/>
    <w:semiHidden/>
    <w:qFormat/>
    <w:rsid w:val="003b1435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3b1435"/>
    <w:rPr>
      <w:sz w:val="16"/>
      <w:szCs w:val="16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394fb0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d74d17"/>
    <w:rPr>
      <w:b/>
      <w:bCs/>
    </w:rPr>
  </w:style>
  <w:style w:type="character" w:styleId="Hyperlink">
    <w:name w:val="Hyperlink"/>
    <w:rPr>
      <w:color w:val="0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ee36aa"/>
    <w:rPr>
      <w:color w:val="605E5C"/>
      <w:shd w:fill="E1DFDD" w:val="clear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pPr>
      <w:widowControl w:val="false"/>
      <w:suppressAutoHyphens w:val="true"/>
      <w:bidi w:val="0"/>
      <w:spacing w:lineRule="auto" w:line="276" w:before="0" w:after="140"/>
      <w:ind w:firstLine="720"/>
      <w:jc w:val="both"/>
    </w:pPr>
    <w:rPr>
      <w:rFonts w:ascii="Arial" w:hAnsi="Arial" w:eastAsia="Arial" w:cs="Arial"/>
      <w:color w:val="auto"/>
      <w:kern w:val="0"/>
      <w:sz w:val="21"/>
      <w:szCs w:val="21"/>
      <w:lang w:val="ru-RU" w:eastAsia="ru-RU" w:bidi="ar-SA"/>
    </w:rPr>
  </w:style>
  <w:style w:type="paragraph" w:styleId="List">
    <w:name w:val="List"/>
    <w:basedOn w:val="BodyText"/>
    <w:pPr/>
    <w:rPr/>
  </w:style>
  <w:style w:type="paragraph" w:styleId="Caption">
    <w:name w:val="caption"/>
    <w:qFormat/>
    <w:pPr>
      <w:widowControl w:val="false"/>
      <w:suppressLineNumbers/>
      <w:suppressAutoHyphens w:val="true"/>
      <w:bidi w:val="0"/>
      <w:spacing w:before="120" w:after="120"/>
      <w:ind w:firstLine="720"/>
      <w:jc w:val="both"/>
    </w:pPr>
    <w:rPr>
      <w:rFonts w:ascii="Arial" w:hAnsi="Arial" w:eastAsia="Arial" w:cs="Arial"/>
      <w:i/>
      <w:iCs/>
      <w:color w:val="auto"/>
      <w:kern w:val="0"/>
      <w:sz w:val="24"/>
      <w:szCs w:val="21"/>
      <w:lang w:val="ru-RU" w:eastAsia="ru-RU" w:bidi="ar-SA"/>
    </w:rPr>
  </w:style>
  <w:style w:type="paragraph" w:styleId="Style11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bCs/>
      <w:color w:val="000000"/>
      <w:sz w:val="72"/>
      <w:szCs w:val="72"/>
    </w:rPr>
  </w:style>
  <w:style w:type="paragraph" w:styleId="1" w:customStyle="1">
    <w:name w:val="Заголовок1"/>
    <w:next w:val="BodyText"/>
    <w:qFormat/>
    <w:pPr>
      <w:keepNext w:val="true"/>
      <w:widowControl w:val="false"/>
      <w:suppressAutoHyphens w:val="true"/>
      <w:bidi w:val="0"/>
      <w:spacing w:before="240" w:after="120"/>
      <w:ind w:firstLine="720"/>
      <w:jc w:val="both"/>
    </w:pPr>
    <w:rPr>
      <w:rFonts w:ascii="Liberation Sans" w:hAnsi="Liberation Sans" w:eastAsia="Microsoft YaHei" w:cs="Arial"/>
      <w:color w:val="auto"/>
      <w:kern w:val="0"/>
      <w:sz w:val="28"/>
      <w:szCs w:val="28"/>
      <w:lang w:val="ru-RU" w:eastAsia="ru-RU" w:bidi="ar-SA"/>
    </w:rPr>
  </w:style>
  <w:style w:type="paragraph" w:styleId="11" w:customStyle="1">
    <w:name w:val="Указатель1"/>
    <w:qFormat/>
    <w:pPr>
      <w:widowControl w:val="false"/>
      <w:suppressLineNumbers/>
      <w:suppressAutoHyphens w:val="true"/>
      <w:bidi w:val="0"/>
      <w:spacing w:before="0" w:after="0"/>
      <w:ind w:firstLine="720"/>
      <w:jc w:val="both"/>
    </w:pPr>
    <w:rPr>
      <w:rFonts w:ascii="Arial" w:hAnsi="Arial" w:eastAsia="Arial" w:cs="Arial"/>
      <w:color w:val="auto"/>
      <w:kern w:val="0"/>
      <w:sz w:val="21"/>
      <w:szCs w:val="21"/>
      <w:lang w:val="ru-RU" w:eastAsia="ru-RU" w:bidi="ar-SA"/>
    </w:rPr>
  </w:style>
  <w:style w:type="paragraph" w:styleId="IndexHeading">
    <w:name w:val="index heading"/>
    <w:qFormat/>
    <w:pPr>
      <w:widowControl w:val="false"/>
      <w:suppressLineNumbers/>
      <w:suppressAutoHyphens w:val="true"/>
      <w:bidi w:val="0"/>
      <w:spacing w:before="0" w:after="0"/>
      <w:ind w:firstLine="720"/>
      <w:jc w:val="both"/>
    </w:pPr>
    <w:rPr>
      <w:rFonts w:ascii="Arial" w:hAnsi="Arial" w:eastAsia="Arial" w:cs="Arial"/>
      <w:color w:val="auto"/>
      <w:kern w:val="0"/>
      <w:sz w:val="21"/>
      <w:szCs w:val="21"/>
      <w:lang w:val="ru-RU" w:eastAsia="ru-RU" w:bidi="ar-SA"/>
    </w:rPr>
  </w:style>
  <w:style w:type="paragraph" w:styleId="12" w:customStyle="1">
    <w:name w:val="Обычный1"/>
    <w:qFormat/>
    <w:rsid w:val="003b1435"/>
    <w:pPr>
      <w:widowControl w:val="false"/>
      <w:suppressAutoHyphens w:val="true"/>
      <w:bidi w:val="0"/>
      <w:spacing w:before="0" w:after="0"/>
      <w:ind w:firstLine="720"/>
      <w:jc w:val="both"/>
    </w:pPr>
    <w:rPr>
      <w:rFonts w:ascii="Arial" w:hAnsi="Arial" w:eastAsia="Arial" w:cs="Arial"/>
      <w:color w:val="auto"/>
      <w:kern w:val="0"/>
      <w:sz w:val="21"/>
      <w:szCs w:val="21"/>
      <w:lang w:val="ru-RU" w:eastAsia="ru-RU" w:bidi="ar-SA"/>
    </w:rPr>
  </w:style>
  <w:style w:type="paragraph" w:styleId="CommentText">
    <w:name w:val="annotation text"/>
    <w:link w:val="Style8"/>
    <w:uiPriority w:val="99"/>
    <w:semiHidden/>
    <w:unhideWhenUsed/>
    <w:rsid w:val="003b1435"/>
    <w:pPr>
      <w:widowControl w:val="false"/>
      <w:suppressAutoHyphens w:val="true"/>
      <w:bidi w:val="0"/>
      <w:spacing w:before="0" w:after="0"/>
      <w:ind w:firstLine="720"/>
      <w:jc w:val="both"/>
    </w:pPr>
    <w:rPr>
      <w:rFonts w:ascii="Arial" w:hAnsi="Arial" w:eastAsia="Arial" w:cs="Arial"/>
      <w:color w:val="auto"/>
      <w:kern w:val="0"/>
      <w:sz w:val="20"/>
      <w:szCs w:val="20"/>
      <w:lang w:val="ru-RU" w:eastAsia="ru-RU" w:bidi="ar-SA"/>
    </w:rPr>
  </w:style>
  <w:style w:type="paragraph" w:styleId="BalloonText">
    <w:name w:val="Balloon Text"/>
    <w:link w:val="Style9"/>
    <w:uiPriority w:val="99"/>
    <w:semiHidden/>
    <w:unhideWhenUsed/>
    <w:qFormat/>
    <w:rsid w:val="00394fb0"/>
    <w:pPr>
      <w:widowControl w:val="false"/>
      <w:suppressAutoHyphens w:val="true"/>
      <w:bidi w:val="0"/>
      <w:spacing w:before="0" w:after="0"/>
      <w:ind w:firstLine="720"/>
      <w:jc w:val="both"/>
    </w:pPr>
    <w:rPr>
      <w:rFonts w:ascii="Tahoma" w:hAnsi="Tahoma" w:eastAsia="Arial" w:cs="Tahoma"/>
      <w:color w:val="auto"/>
      <w:kern w:val="0"/>
      <w:sz w:val="16"/>
      <w:szCs w:val="16"/>
      <w:lang w:val="ru-RU" w:eastAsia="ru-RU" w:bidi="ar-SA"/>
    </w:rPr>
  </w:style>
  <w:style w:type="paragraph" w:styleId="ListParagraph">
    <w:name w:val="List Paragraph"/>
    <w:uiPriority w:val="34"/>
    <w:qFormat/>
    <w:rsid w:val="00394fb0"/>
    <w:pPr>
      <w:widowControl w:val="false"/>
      <w:suppressAutoHyphens w:val="true"/>
      <w:bidi w:val="0"/>
      <w:spacing w:before="0" w:after="0"/>
      <w:ind w:firstLine="720" w:left="720"/>
      <w:contextualSpacing/>
      <w:jc w:val="both"/>
    </w:pPr>
    <w:rPr>
      <w:rFonts w:ascii="Arial" w:hAnsi="Arial" w:eastAsia="Arial" w:cs="Arial"/>
      <w:color w:val="auto"/>
      <w:kern w:val="0"/>
      <w:sz w:val="21"/>
      <w:szCs w:val="21"/>
      <w:lang w:val="ru-RU" w:eastAsia="ru-RU" w:bidi="ar-SA"/>
    </w:rPr>
  </w:style>
  <w:style w:type="paragraph" w:styleId="NoSpacing">
    <w:name w:val="No Spacing"/>
    <w:uiPriority w:val="1"/>
    <w:qFormat/>
    <w:rsid w:val="00d74d17"/>
    <w:pPr>
      <w:widowControl w:val="false"/>
      <w:suppressAutoHyphens w:val="true"/>
      <w:bidi w:val="0"/>
      <w:spacing w:before="0" w:after="0"/>
      <w:ind w:firstLine="720"/>
      <w:jc w:val="both"/>
    </w:pPr>
    <w:rPr>
      <w:rFonts w:ascii="Arial" w:hAnsi="Arial" w:eastAsia="Arial" w:cs="Arial"/>
      <w:color w:val="auto"/>
      <w:kern w:val="0"/>
      <w:sz w:val="21"/>
      <w:szCs w:val="21"/>
      <w:lang w:val="ru-RU" w:eastAsia="ru-RU" w:bidi="ar-SA"/>
    </w:rPr>
  </w:style>
  <w:style w:type="paragraph" w:styleId="Style12" w:customStyle="1">
    <w:name w:val="Колонтитулы"/>
    <w:qFormat/>
    <w:pPr>
      <w:widowControl w:val="false"/>
      <w:suppressAutoHyphens w:val="true"/>
      <w:bidi w:val="0"/>
      <w:spacing w:before="0" w:after="0"/>
      <w:ind w:firstLine="720"/>
      <w:jc w:val="both"/>
    </w:pPr>
    <w:rPr>
      <w:rFonts w:ascii="Arial" w:hAnsi="Arial" w:eastAsia="Arial" w:cs="Arial"/>
      <w:color w:val="auto"/>
      <w:kern w:val="0"/>
      <w:sz w:val="21"/>
      <w:szCs w:val="21"/>
      <w:lang w:val="ru-RU" w:eastAsia="ru-RU" w:bidi="ar-SA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Style12"/>
    <w:pPr/>
    <w:rPr/>
  </w:style>
  <w:style w:type="paragraph" w:styleId="user2" w:customStyle="1">
    <w:name w:val="Содержимое таблицы (user)"/>
    <w:qFormat/>
    <w:pPr>
      <w:widowControl w:val="false"/>
      <w:suppressLineNumbers/>
      <w:suppressAutoHyphens w:val="true"/>
      <w:bidi w:val="0"/>
      <w:spacing w:before="0" w:after="0"/>
      <w:ind w:firstLine="720"/>
      <w:jc w:val="both"/>
    </w:pPr>
    <w:rPr>
      <w:rFonts w:ascii="Arial" w:hAnsi="Arial" w:eastAsia="Arial" w:cs="Arial"/>
      <w:color w:val="auto"/>
      <w:kern w:val="0"/>
      <w:sz w:val="21"/>
      <w:szCs w:val="21"/>
      <w:lang w:val="ru-RU" w:eastAsia="ru-RU" w:bidi="ar-SA"/>
    </w:rPr>
  </w:style>
  <w:style w:type="paragraph" w:styleId="user3" w:customStyle="1">
    <w:name w:val="Заголовок таблицы (user)"/>
    <w:basedOn w:val="user2"/>
    <w:qFormat/>
    <w:pPr>
      <w:jc w:val="center"/>
    </w:pPr>
    <w:rPr>
      <w:b/>
      <w:bCs/>
    </w:rPr>
  </w:style>
  <w:style w:type="paragraph" w:styleId="Style13" w:customStyle="1">
    <w:name w:val="Содержимое таблицы"/>
    <w:qFormat/>
    <w:pPr>
      <w:widowControl w:val="false"/>
      <w:suppressLineNumbers/>
      <w:suppressAutoHyphens w:val="true"/>
      <w:bidi w:val="0"/>
      <w:spacing w:before="0" w:after="0"/>
      <w:ind w:firstLine="720"/>
      <w:jc w:val="both"/>
    </w:pPr>
    <w:rPr>
      <w:rFonts w:ascii="Arial" w:hAnsi="Arial" w:eastAsia="Arial" w:cs="Arial"/>
      <w:color w:val="auto"/>
      <w:kern w:val="0"/>
      <w:sz w:val="21"/>
      <w:szCs w:val="21"/>
      <w:lang w:val="ru-RU" w:eastAsia="ru-RU" w:bidi="ar-SA"/>
    </w:rPr>
  </w:style>
  <w:style w:type="paragraph" w:styleId="Style14" w:customStyle="1">
    <w:name w:val="Заголовок таблицы"/>
    <w:basedOn w:val="Style13"/>
    <w:qFormat/>
    <w:pPr>
      <w:jc w:val="center"/>
    </w:pPr>
    <w:rPr>
      <w:b/>
      <w:bCs/>
    </w:rPr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numbering" w:styleId="Style15" w:customStyle="1">
    <w:name w:val="Без списка"/>
    <w:uiPriority w:val="99"/>
    <w:semiHidden/>
    <w:unhideWhenUsed/>
    <w:qFormat/>
  </w:style>
  <w:style w:type="numbering" w:styleId="user4" w:customStyle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 Normal"/>
    <w:rsid w:val="003b143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fb3290"/>
    <w:rPr>
      <w:rFonts w:asciiTheme="minorHAnsi" w:hAnsiTheme="minorHAnsi" w:eastAsiaTheme="minorEastAsia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7">
    <w:name w:val="Table Grid"/>
    <w:basedOn w:val="a1"/>
    <w:uiPriority w:val="59"/>
    <w:rsid w:val="00d74d1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4Ze2MSe6sID8vDmMdDjAeCRxEcQ==">CgMxLjA4AHIhMWotTFZiaGpPdHkzMmFYV3liVnZQMHh3U3E2RzZpaGtv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LibreOffice/25.2.3.2$Linux_X86_64 LibreOffice_project/520$Build-2</Application>
  <AppVersion>15.0000</AppVersion>
  <Pages>6</Pages>
  <Words>1191</Words>
  <Characters>7629</Characters>
  <CharactersWithSpaces>8555</CharactersWithSpaces>
  <Paragraphs>357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2026-10-12T08:20:00Z</dcterms:created>
  <dc:creator>WPS Office</dc:creator>
  <dc:description/>
  <dc:language>ru-RU</dc:language>
  <cp:lastModifiedBy/>
  <dcterms:modified xsi:type="dcterms:W3CDTF">2026-10-16T15:48:43Z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